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61DD8">
      <w:r w:rsidRPr="00161DD8">
        <w:rPr>
          <w:noProof/>
          <w:lang w:val="en-US" w:eastAsia="zh-TW"/>
        </w:rPr>
        <w:pict>
          <v:shapetype id="_x0000_t202" coordsize="21600,21600" o:spt="202" path="m,l,21600r21600,l21600,xe">
            <v:stroke joinstyle="miter"/>
            <v:path gradientshapeok="t" o:connecttype="rect"/>
          </v:shapetype>
          <v:shape id="_x0000_s1026" type="#_x0000_t202" style="position:absolute;margin-left:826.95pt;margin-top:0;width:315.55pt;height:123pt;z-index:251660288;mso-position-horizontal:right;mso-position-horizontal-relative:margin;mso-position-vertical:top;mso-position-vertical-relative:margin;mso-width-relative:margin;mso-height-relative:margin" stroked="f">
            <v:textbox style="mso-next-textbox:#_x0000_s1026">
              <w:txbxContent>
                <w:p w:rsidR="009579D3" w:rsidRPr="000B32A7" w:rsidRDefault="00E32F97" w:rsidP="004D3814">
                  <w:pPr>
                    <w:jc w:val="right"/>
                    <w:rPr>
                      <w:rFonts w:ascii="Segoe UI" w:hAnsi="Segoe UI" w:cs="Segoe UI"/>
                      <w:b/>
                      <w:sz w:val="72"/>
                      <w:szCs w:val="72"/>
                      <w:u w:val="single"/>
                    </w:rPr>
                  </w:pPr>
                  <w:r>
                    <w:rPr>
                      <w:rFonts w:ascii="Segoe UI" w:hAnsi="Segoe UI" w:cs="Segoe UI"/>
                      <w:b/>
                      <w:sz w:val="72"/>
                      <w:szCs w:val="72"/>
                      <w:u w:val="single"/>
                    </w:rPr>
                    <w:t>East Sussex</w:t>
                  </w:r>
                  <w:r w:rsidR="00A769A7">
                    <w:rPr>
                      <w:rFonts w:ascii="Segoe UI" w:hAnsi="Segoe UI" w:cs="Segoe UI"/>
                      <w:b/>
                      <w:sz w:val="72"/>
                      <w:szCs w:val="72"/>
                      <w:u w:val="single"/>
                    </w:rPr>
                    <w:t xml:space="preserve"> </w:t>
                  </w:r>
                  <w:r w:rsidR="009579D3" w:rsidRPr="000B32A7">
                    <w:rPr>
                      <w:rFonts w:ascii="Segoe UI" w:hAnsi="Segoe UI" w:cs="Segoe UI"/>
                      <w:b/>
                      <w:sz w:val="72"/>
                      <w:szCs w:val="72"/>
                      <w:u w:val="single"/>
                    </w:rPr>
                    <w:t>Housing Profile</w:t>
                  </w:r>
                </w:p>
                <w:p w:rsidR="009E1F4D" w:rsidRPr="000B32A7" w:rsidRDefault="009E1F4D">
                  <w:pPr>
                    <w:rPr>
                      <w:sz w:val="24"/>
                    </w:rPr>
                  </w:pP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1E09A4">
        <w:rPr>
          <w:rFonts w:ascii="Segoe UI" w:hAnsi="Segoe UI" w:cs="Segoe UI"/>
        </w:rPr>
        <w:t>Housing</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707CEB">
        <w:rPr>
          <w:rFonts w:ascii="Segoe UI" w:hAnsi="Segoe UI" w:cs="Segoe UI"/>
        </w:rPr>
        <w:t>housing</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authority class and for the rural</w:t>
      </w:r>
      <w:r w:rsidR="00707CEB">
        <w:rPr>
          <w:rFonts w:ascii="Segoe UI" w:hAnsi="Segoe UI" w:cs="Segoe UI"/>
        </w:rPr>
        <w:t xml:space="preserve"> classification of the local authority.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AA4EAF" w:rsidRPr="00707CEB" w:rsidRDefault="00161DD8" w:rsidP="00707CEB">
      <w:pPr>
        <w:pStyle w:val="ListParagraph"/>
        <w:numPr>
          <w:ilvl w:val="0"/>
          <w:numId w:val="1"/>
        </w:numPr>
        <w:rPr>
          <w:rFonts w:ascii="Segoe UI" w:hAnsi="Segoe UI" w:cs="Segoe UI"/>
        </w:rPr>
      </w:pPr>
      <w:hyperlink w:anchor="Building" w:history="1">
        <w:r w:rsidR="00D34678" w:rsidRPr="00D32C9E">
          <w:rPr>
            <w:rStyle w:val="Hyperlink"/>
          </w:rPr>
          <w:t>House building</w:t>
        </w:r>
      </w:hyperlink>
    </w:p>
    <w:p w:rsidR="00AA4EAF" w:rsidRPr="00707CEB" w:rsidRDefault="00161DD8" w:rsidP="00707CEB">
      <w:pPr>
        <w:pStyle w:val="ListParagraph"/>
        <w:numPr>
          <w:ilvl w:val="0"/>
          <w:numId w:val="1"/>
        </w:numPr>
        <w:rPr>
          <w:rFonts w:ascii="Segoe UI" w:hAnsi="Segoe UI" w:cs="Segoe UI"/>
        </w:rPr>
      </w:pPr>
      <w:hyperlink w:anchor="Stock" w:history="1">
        <w:r w:rsidR="00D34678" w:rsidRPr="00D32C9E">
          <w:rPr>
            <w:rStyle w:val="Hyperlink"/>
          </w:rPr>
          <w:t>Additions to housing stock</w:t>
        </w:r>
      </w:hyperlink>
    </w:p>
    <w:p w:rsidR="00AA4EAF" w:rsidRPr="00707CEB" w:rsidRDefault="00161DD8" w:rsidP="00707CEB">
      <w:pPr>
        <w:pStyle w:val="ListParagraph"/>
        <w:numPr>
          <w:ilvl w:val="0"/>
          <w:numId w:val="1"/>
        </w:numPr>
        <w:rPr>
          <w:rFonts w:ascii="Segoe UI" w:hAnsi="Segoe UI" w:cs="Segoe UI"/>
        </w:rPr>
      </w:pPr>
      <w:hyperlink w:anchor="Affordability" w:history="1">
        <w:r w:rsidR="00D34678" w:rsidRPr="00D32C9E">
          <w:rPr>
            <w:rStyle w:val="Hyperlink"/>
          </w:rPr>
          <w:t>Housing and accommodation affordability</w:t>
        </w:r>
      </w:hyperlink>
    </w:p>
    <w:p w:rsidR="00AA4EAF" w:rsidRPr="00707CEB" w:rsidRDefault="00161DD8" w:rsidP="00707CEB">
      <w:pPr>
        <w:pStyle w:val="ListParagraph"/>
        <w:numPr>
          <w:ilvl w:val="0"/>
          <w:numId w:val="1"/>
        </w:numPr>
        <w:rPr>
          <w:rFonts w:ascii="Segoe UI" w:hAnsi="Segoe UI" w:cs="Segoe UI"/>
        </w:rPr>
      </w:pPr>
      <w:hyperlink w:anchor="Rental" w:history="1">
        <w:r w:rsidR="00D34678" w:rsidRPr="00D32C9E">
          <w:rPr>
            <w:rStyle w:val="Hyperlink"/>
          </w:rPr>
          <w:t>Private rental affordability</w:t>
        </w:r>
      </w:hyperlink>
    </w:p>
    <w:p w:rsidR="00360FD9" w:rsidRPr="00D34678" w:rsidRDefault="00161DD8" w:rsidP="00D34678">
      <w:pPr>
        <w:pStyle w:val="ListParagraph"/>
        <w:numPr>
          <w:ilvl w:val="0"/>
          <w:numId w:val="1"/>
        </w:numPr>
        <w:rPr>
          <w:rFonts w:ascii="Segoe UI" w:hAnsi="Segoe UI" w:cs="Segoe UI"/>
        </w:rPr>
      </w:pPr>
      <w:hyperlink w:anchor="Homelessness" w:history="1">
        <w:r w:rsidR="00D34678" w:rsidRPr="00D32C9E">
          <w:rPr>
            <w:rStyle w:val="Hyperlink"/>
          </w:rPr>
          <w:t>Homelessness and Temporary Accommodation</w:t>
        </w:r>
      </w:hyperlink>
    </w:p>
    <w:p w:rsidR="00075447" w:rsidRDefault="00075447">
      <w:pPr>
        <w:rPr>
          <w:rFonts w:ascii="Segoe UI" w:hAnsi="Segoe UI" w:cs="Segoe UI"/>
        </w:rPr>
      </w:pPr>
    </w:p>
    <w:p w:rsidR="00C27833" w:rsidRPr="00075447" w:rsidRDefault="00DA3CE6">
      <w:pPr>
        <w:rPr>
          <w:rFonts w:ascii="Segoe UI" w:hAnsi="Segoe UI" w:cs="Segoe UI"/>
          <w:b/>
          <w:u w:val="single"/>
        </w:rPr>
      </w:pPr>
      <w:bookmarkStart w:id="0" w:name="Building"/>
      <w:r>
        <w:rPr>
          <w:rFonts w:ascii="Segoe UI" w:hAnsi="Segoe UI" w:cs="Segoe UI"/>
          <w:b/>
          <w:u w:val="single"/>
        </w:rPr>
        <w:t>House building</w:t>
      </w:r>
      <w:bookmarkEnd w:id="0"/>
    </w:p>
    <w:p w:rsidR="00075447" w:rsidRDefault="00075447">
      <w:pPr>
        <w:rPr>
          <w:rFonts w:ascii="Segoe UI" w:hAnsi="Segoe UI" w:cs="Segoe UI"/>
        </w:rPr>
      </w:pPr>
    </w:p>
    <w:p w:rsidR="00443081" w:rsidRDefault="00443081">
      <w:pPr>
        <w:rPr>
          <w:rFonts w:ascii="Segoe UI" w:hAnsi="Segoe UI" w:cs="Segoe UI"/>
        </w:rPr>
      </w:pPr>
      <w:r w:rsidRPr="00443081">
        <w:rPr>
          <w:rFonts w:ascii="Segoe UI" w:hAnsi="Segoe UI" w:cs="Segoe UI"/>
          <w:noProof/>
          <w:lang w:eastAsia="en-GB"/>
        </w:rPr>
        <w:drawing>
          <wp:inline distT="0" distB="0" distL="0" distR="0">
            <wp:extent cx="5943600" cy="2743200"/>
            <wp:effectExtent l="0" t="19050" r="76200" b="571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69DB" w:rsidRDefault="00F3443F">
      <w:pPr>
        <w:rPr>
          <w:rFonts w:ascii="Segoe UI" w:hAnsi="Segoe UI" w:cs="Segoe UI"/>
        </w:rPr>
      </w:pPr>
      <w:r w:rsidRPr="00F3443F">
        <w:rPr>
          <w:rFonts w:ascii="Segoe UI" w:hAnsi="Segoe UI" w:cs="Segoe UI"/>
          <w:noProof/>
          <w:lang w:eastAsia="en-GB"/>
        </w:rPr>
        <w:lastRenderedPageBreak/>
        <w:drawing>
          <wp:inline distT="0" distB="0" distL="0" distR="0">
            <wp:extent cx="5943600" cy="2743200"/>
            <wp:effectExtent l="0" t="19050" r="76200" b="571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3766" w:rsidRDefault="00F3443F">
      <w:pPr>
        <w:rPr>
          <w:rFonts w:ascii="Segoe UI" w:hAnsi="Segoe UI" w:cs="Segoe UI"/>
        </w:rPr>
      </w:pPr>
      <w:r w:rsidRPr="00F3443F">
        <w:rPr>
          <w:rFonts w:ascii="Segoe UI" w:hAnsi="Segoe UI" w:cs="Segoe UI"/>
          <w:noProof/>
          <w:lang w:eastAsia="en-GB"/>
        </w:rPr>
        <w:drawing>
          <wp:inline distT="0" distB="0" distL="0" distR="0">
            <wp:extent cx="5943600" cy="2743200"/>
            <wp:effectExtent l="0" t="19050" r="76200" b="5715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3766" w:rsidRDefault="006245BC">
      <w:pPr>
        <w:rPr>
          <w:rFonts w:ascii="Segoe UI" w:hAnsi="Segoe UI" w:cs="Segoe UI"/>
        </w:rPr>
      </w:pPr>
      <w:r w:rsidRPr="006245BC">
        <w:rPr>
          <w:rFonts w:ascii="Segoe UI" w:hAnsi="Segoe UI" w:cs="Segoe UI"/>
          <w:noProof/>
          <w:lang w:eastAsia="en-GB"/>
        </w:rPr>
        <w:drawing>
          <wp:inline distT="0" distB="0" distL="0" distR="0">
            <wp:extent cx="5924550" cy="2743200"/>
            <wp:effectExtent l="0" t="19050" r="76200" b="5715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7FA7" w:rsidRDefault="006245BC">
      <w:pPr>
        <w:rPr>
          <w:rFonts w:ascii="Segoe UI" w:hAnsi="Segoe UI" w:cs="Segoe UI"/>
        </w:rPr>
      </w:pPr>
      <w:r w:rsidRPr="006245BC">
        <w:rPr>
          <w:rFonts w:ascii="Segoe UI" w:hAnsi="Segoe UI" w:cs="Segoe UI"/>
          <w:noProof/>
          <w:lang w:eastAsia="en-GB"/>
        </w:rPr>
        <w:lastRenderedPageBreak/>
        <w:drawing>
          <wp:inline distT="0" distB="0" distL="0" distR="0">
            <wp:extent cx="5943600" cy="2743200"/>
            <wp:effectExtent l="0" t="19050" r="76200" b="5715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7FA7" w:rsidRDefault="006245BC">
      <w:pPr>
        <w:rPr>
          <w:rFonts w:ascii="Segoe UI" w:hAnsi="Segoe UI" w:cs="Segoe UI"/>
        </w:rPr>
      </w:pPr>
      <w:r w:rsidRPr="006245BC">
        <w:rPr>
          <w:rFonts w:ascii="Segoe UI" w:hAnsi="Segoe UI" w:cs="Segoe UI"/>
          <w:noProof/>
          <w:lang w:eastAsia="en-GB"/>
        </w:rPr>
        <w:drawing>
          <wp:inline distT="0" distB="0" distL="0" distR="0">
            <wp:extent cx="5943600" cy="2743200"/>
            <wp:effectExtent l="0" t="19050" r="76200" b="5715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3B1E" w:rsidRDefault="006245BC">
      <w:pPr>
        <w:rPr>
          <w:rFonts w:ascii="Segoe UI" w:hAnsi="Segoe UI" w:cs="Segoe UI"/>
        </w:rPr>
      </w:pPr>
      <w:r w:rsidRPr="006245BC">
        <w:rPr>
          <w:rFonts w:ascii="Segoe UI" w:hAnsi="Segoe UI" w:cs="Segoe UI"/>
          <w:noProof/>
          <w:lang w:eastAsia="en-GB"/>
        </w:rPr>
        <w:drawing>
          <wp:inline distT="0" distB="0" distL="0" distR="0">
            <wp:extent cx="5943600" cy="2743200"/>
            <wp:effectExtent l="0" t="19050" r="76200" b="5715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3509" w:rsidRDefault="00E866F7">
      <w:pPr>
        <w:rPr>
          <w:rFonts w:ascii="Segoe UI" w:hAnsi="Segoe UI" w:cs="Segoe UI"/>
        </w:rPr>
      </w:pPr>
      <w:r w:rsidRPr="00E866F7">
        <w:rPr>
          <w:rFonts w:ascii="Segoe UI" w:hAnsi="Segoe UI" w:cs="Segoe UI"/>
          <w:noProof/>
          <w:lang w:eastAsia="en-GB"/>
        </w:rPr>
        <w:lastRenderedPageBreak/>
        <w:drawing>
          <wp:inline distT="0" distB="0" distL="0" distR="0">
            <wp:extent cx="5943600" cy="2743200"/>
            <wp:effectExtent l="0" t="19050" r="76200" b="5715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3509" w:rsidRDefault="007D3509">
      <w:pPr>
        <w:rPr>
          <w:rFonts w:ascii="Segoe UI" w:hAnsi="Segoe UI" w:cs="Segoe UI"/>
        </w:rPr>
      </w:pPr>
    </w:p>
    <w:p w:rsidR="002408BD" w:rsidRDefault="002408BD">
      <w:pPr>
        <w:rPr>
          <w:rFonts w:ascii="Segoe UI" w:hAnsi="Segoe UI" w:cs="Segoe UI"/>
        </w:rPr>
      </w:pPr>
    </w:p>
    <w:p w:rsidR="00665AAB" w:rsidRDefault="00057D91">
      <w:pPr>
        <w:rPr>
          <w:rFonts w:ascii="Segoe UI" w:hAnsi="Segoe UI" w:cs="Segoe UI"/>
        </w:rPr>
      </w:pPr>
      <w:r>
        <w:rPr>
          <w:rFonts w:ascii="Segoe UI" w:hAnsi="Segoe UI" w:cs="Segoe UI"/>
        </w:rPr>
        <w:t xml:space="preserve">Overall </w:t>
      </w:r>
      <w:proofErr w:type="spellStart"/>
      <w:r>
        <w:rPr>
          <w:rFonts w:ascii="Segoe UI" w:hAnsi="Segoe UI" w:cs="Segoe UI"/>
        </w:rPr>
        <w:t>housebuilding</w:t>
      </w:r>
      <w:proofErr w:type="spellEnd"/>
      <w:r>
        <w:rPr>
          <w:rFonts w:ascii="Segoe UI" w:hAnsi="Segoe UI" w:cs="Segoe UI"/>
        </w:rPr>
        <w:t xml:space="preserve"> (starts and completions) as a proportion of dwelling stock has generally increased since 2009/10.  This </w:t>
      </w:r>
      <w:r w:rsidR="002B39D0">
        <w:rPr>
          <w:rFonts w:ascii="Segoe UI" w:hAnsi="Segoe UI" w:cs="Segoe UI"/>
        </w:rPr>
        <w:t xml:space="preserve">total </w:t>
      </w:r>
      <w:r>
        <w:rPr>
          <w:rFonts w:ascii="Segoe UI" w:hAnsi="Segoe UI" w:cs="Segoe UI"/>
        </w:rPr>
        <w:t xml:space="preserve">rate of </w:t>
      </w:r>
      <w:proofErr w:type="spellStart"/>
      <w:r>
        <w:rPr>
          <w:rFonts w:ascii="Segoe UI" w:hAnsi="Segoe UI" w:cs="Segoe UI"/>
        </w:rPr>
        <w:t>housebuilding</w:t>
      </w:r>
      <w:proofErr w:type="spellEnd"/>
      <w:r>
        <w:rPr>
          <w:rFonts w:ascii="Segoe UI" w:hAnsi="Segoe UI" w:cs="Segoe UI"/>
        </w:rPr>
        <w:t xml:space="preserve"> has been greate</w:t>
      </w:r>
      <w:r w:rsidR="002B39D0">
        <w:rPr>
          <w:rFonts w:ascii="Segoe UI" w:hAnsi="Segoe UI" w:cs="Segoe UI"/>
        </w:rPr>
        <w:t>st</w:t>
      </w:r>
      <w:r>
        <w:rPr>
          <w:rFonts w:ascii="Segoe UI" w:hAnsi="Segoe UI" w:cs="Segoe UI"/>
        </w:rPr>
        <w:t xml:space="preserve"> in Predominantly Rural authority areas, </w:t>
      </w:r>
      <w:r w:rsidR="002B39D0">
        <w:rPr>
          <w:rFonts w:ascii="Segoe UI" w:hAnsi="Segoe UI" w:cs="Segoe UI"/>
        </w:rPr>
        <w:t xml:space="preserve">however </w:t>
      </w:r>
      <w:r>
        <w:rPr>
          <w:rFonts w:ascii="Segoe UI" w:hAnsi="Segoe UI" w:cs="Segoe UI"/>
        </w:rPr>
        <w:t xml:space="preserve">this is not </w:t>
      </w:r>
      <w:r w:rsidR="00171D21">
        <w:rPr>
          <w:rFonts w:ascii="Segoe UI" w:hAnsi="Segoe UI" w:cs="Segoe UI"/>
        </w:rPr>
        <w:t>reflected by</w:t>
      </w:r>
      <w:r>
        <w:rPr>
          <w:rFonts w:ascii="Segoe UI" w:hAnsi="Segoe UI" w:cs="Segoe UI"/>
        </w:rPr>
        <w:t xml:space="preserve"> local authority </w:t>
      </w:r>
      <w:proofErr w:type="spellStart"/>
      <w:r>
        <w:rPr>
          <w:rFonts w:ascii="Segoe UI" w:hAnsi="Segoe UI" w:cs="Segoe UI"/>
        </w:rPr>
        <w:t>housebuilding</w:t>
      </w:r>
      <w:proofErr w:type="spellEnd"/>
      <w:r>
        <w:rPr>
          <w:rFonts w:ascii="Segoe UI" w:hAnsi="Segoe UI" w:cs="Segoe UI"/>
        </w:rPr>
        <w:t xml:space="preserve"> where </w:t>
      </w:r>
      <w:r w:rsidR="002B39D0">
        <w:rPr>
          <w:rFonts w:ascii="Segoe UI" w:hAnsi="Segoe UI" w:cs="Segoe UI"/>
        </w:rPr>
        <w:t>the rate of local authority builds is greatest for</w:t>
      </w:r>
      <w:r>
        <w:rPr>
          <w:rFonts w:ascii="Segoe UI" w:hAnsi="Segoe UI" w:cs="Segoe UI"/>
        </w:rPr>
        <w:t xml:space="preserve"> Predominantly Urban local authorities.</w:t>
      </w:r>
      <w:r w:rsidR="007B5629">
        <w:rPr>
          <w:rFonts w:ascii="Segoe UI" w:hAnsi="Segoe UI" w:cs="Segoe UI"/>
        </w:rPr>
        <w:t xml:space="preserve">  Private enterprise </w:t>
      </w:r>
      <w:proofErr w:type="spellStart"/>
      <w:r w:rsidR="007B5629">
        <w:rPr>
          <w:rFonts w:ascii="Segoe UI" w:hAnsi="Segoe UI" w:cs="Segoe UI"/>
        </w:rPr>
        <w:t>housebuilding</w:t>
      </w:r>
      <w:proofErr w:type="spellEnd"/>
      <w:r w:rsidR="007B5629">
        <w:rPr>
          <w:rFonts w:ascii="Segoe UI" w:hAnsi="Segoe UI" w:cs="Segoe UI"/>
        </w:rPr>
        <w:t xml:space="preserve"> provides the greatest proportion of builds for both rural and urban areas.</w:t>
      </w:r>
    </w:p>
    <w:p w:rsidR="00D625BB" w:rsidRDefault="00E32F97">
      <w:pPr>
        <w:rPr>
          <w:rFonts w:ascii="Segoe UI" w:hAnsi="Segoe UI" w:cs="Segoe UI"/>
        </w:rPr>
      </w:pPr>
      <w:r>
        <w:rPr>
          <w:rFonts w:ascii="Segoe UI" w:hAnsi="Segoe UI" w:cs="Segoe UI"/>
        </w:rPr>
        <w:t>East Sussex</w:t>
      </w:r>
      <w:r w:rsidR="00D61059">
        <w:rPr>
          <w:rFonts w:ascii="Segoe UI" w:hAnsi="Segoe UI" w:cs="Segoe UI"/>
        </w:rPr>
        <w:t xml:space="preserve"> in 2016</w:t>
      </w:r>
      <w:r w:rsidR="00D625BB">
        <w:rPr>
          <w:rFonts w:ascii="Segoe UI" w:hAnsi="Segoe UI" w:cs="Segoe UI"/>
        </w:rPr>
        <w:t>/1</w:t>
      </w:r>
      <w:r w:rsidR="00D61059">
        <w:rPr>
          <w:rFonts w:ascii="Segoe UI" w:hAnsi="Segoe UI" w:cs="Segoe UI"/>
        </w:rPr>
        <w:t>7</w:t>
      </w:r>
      <w:r w:rsidR="00D625BB">
        <w:rPr>
          <w:rFonts w:ascii="Segoe UI" w:hAnsi="Segoe UI" w:cs="Segoe UI"/>
        </w:rPr>
        <w:t xml:space="preserve"> saw </w:t>
      </w:r>
      <w:r w:rsidR="00E03381">
        <w:rPr>
          <w:rFonts w:ascii="Segoe UI" w:hAnsi="Segoe UI" w:cs="Segoe UI"/>
        </w:rPr>
        <w:t xml:space="preserve">total completions of </w:t>
      </w:r>
      <w:r>
        <w:rPr>
          <w:rFonts w:ascii="Segoe UI" w:hAnsi="Segoe UI" w:cs="Segoe UI"/>
        </w:rPr>
        <w:t>1,020</w:t>
      </w:r>
      <w:r w:rsidR="00FA4ACC">
        <w:rPr>
          <w:rFonts w:ascii="Segoe UI" w:hAnsi="Segoe UI" w:cs="Segoe UI"/>
        </w:rPr>
        <w:t xml:space="preserve">, made up of </w:t>
      </w:r>
      <w:r>
        <w:rPr>
          <w:rFonts w:ascii="Segoe UI" w:hAnsi="Segoe UI" w:cs="Segoe UI"/>
        </w:rPr>
        <w:t>82</w:t>
      </w:r>
      <w:r w:rsidR="008E1B8F">
        <w:rPr>
          <w:rFonts w:ascii="Segoe UI" w:hAnsi="Segoe UI" w:cs="Segoe UI"/>
        </w:rPr>
        <w:t>0</w:t>
      </w:r>
      <w:r w:rsidR="00FA4ACC">
        <w:rPr>
          <w:rFonts w:ascii="Segoe UI" w:hAnsi="Segoe UI" w:cs="Segoe UI"/>
        </w:rPr>
        <w:t xml:space="preserve"> private enterprise builds</w:t>
      </w:r>
      <w:r w:rsidR="008E1B8F">
        <w:rPr>
          <w:rFonts w:ascii="Segoe UI" w:hAnsi="Segoe UI" w:cs="Segoe UI"/>
        </w:rPr>
        <w:t xml:space="preserve"> and</w:t>
      </w:r>
      <w:r w:rsidR="002753AC">
        <w:rPr>
          <w:rFonts w:ascii="Segoe UI" w:hAnsi="Segoe UI" w:cs="Segoe UI"/>
        </w:rPr>
        <w:t xml:space="preserve"> </w:t>
      </w:r>
      <w:r>
        <w:rPr>
          <w:rFonts w:ascii="Segoe UI" w:hAnsi="Segoe UI" w:cs="Segoe UI"/>
        </w:rPr>
        <w:t>20</w:t>
      </w:r>
      <w:r w:rsidR="00A769A7">
        <w:rPr>
          <w:rFonts w:ascii="Segoe UI" w:hAnsi="Segoe UI" w:cs="Segoe UI"/>
        </w:rPr>
        <w:t>0</w:t>
      </w:r>
      <w:r w:rsidR="003A5C91">
        <w:rPr>
          <w:rFonts w:ascii="Segoe UI" w:hAnsi="Segoe UI" w:cs="Segoe UI"/>
        </w:rPr>
        <w:t xml:space="preserve"> housing association builds</w:t>
      </w:r>
      <w:r w:rsidR="00D625BB">
        <w:rPr>
          <w:rFonts w:ascii="Segoe UI" w:hAnsi="Segoe UI" w:cs="Segoe UI"/>
        </w:rPr>
        <w:t>.  This was o</w:t>
      </w:r>
      <w:r w:rsidR="003D7517">
        <w:rPr>
          <w:rFonts w:ascii="Segoe UI" w:hAnsi="Segoe UI" w:cs="Segoe UI"/>
        </w:rPr>
        <w:t>n a total dwelling stock in 2016</w:t>
      </w:r>
      <w:r w:rsidR="00D625BB">
        <w:rPr>
          <w:rFonts w:ascii="Segoe UI" w:hAnsi="Segoe UI" w:cs="Segoe UI"/>
        </w:rPr>
        <w:t xml:space="preserve"> of </w:t>
      </w:r>
      <w:r>
        <w:rPr>
          <w:rFonts w:ascii="Segoe UI" w:hAnsi="Segoe UI" w:cs="Segoe UI"/>
        </w:rPr>
        <w:t>250,330</w:t>
      </w:r>
      <w:r w:rsidR="00D625BB">
        <w:rPr>
          <w:rFonts w:ascii="Segoe UI" w:hAnsi="Segoe UI" w:cs="Segoe UI"/>
        </w:rPr>
        <w:t>.</w:t>
      </w:r>
    </w:p>
    <w:p w:rsidR="00665AAB" w:rsidRDefault="00665AAB">
      <w:pPr>
        <w:rPr>
          <w:rFonts w:ascii="Segoe UI" w:hAnsi="Segoe UI" w:cs="Segoe UI"/>
        </w:rPr>
      </w:pPr>
    </w:p>
    <w:p w:rsidR="008D66C0" w:rsidRPr="00F624C0" w:rsidRDefault="00DA3CE6">
      <w:pPr>
        <w:rPr>
          <w:rFonts w:ascii="Segoe UI" w:hAnsi="Segoe UI" w:cs="Segoe UI"/>
          <w:b/>
          <w:u w:val="single"/>
        </w:rPr>
      </w:pPr>
      <w:bookmarkStart w:id="1" w:name="Stock"/>
      <w:r>
        <w:rPr>
          <w:rFonts w:ascii="Segoe UI" w:hAnsi="Segoe UI" w:cs="Segoe UI"/>
          <w:b/>
          <w:u w:val="single"/>
        </w:rPr>
        <w:t>Additions to housing stock</w:t>
      </w:r>
      <w:bookmarkEnd w:id="1"/>
    </w:p>
    <w:p w:rsidR="00F624C0" w:rsidRDefault="00F624C0">
      <w:pPr>
        <w:rPr>
          <w:rFonts w:ascii="Segoe UI" w:hAnsi="Segoe UI" w:cs="Segoe UI"/>
        </w:rPr>
      </w:pPr>
    </w:p>
    <w:p w:rsidR="00445CF6" w:rsidRDefault="00445CF6">
      <w:pPr>
        <w:rPr>
          <w:rFonts w:ascii="Segoe UI" w:hAnsi="Segoe UI" w:cs="Segoe UI"/>
        </w:rPr>
      </w:pPr>
    </w:p>
    <w:p w:rsidR="001F4A28" w:rsidRDefault="001F4A28">
      <w:pPr>
        <w:rPr>
          <w:rFonts w:ascii="Segoe UI" w:hAnsi="Segoe UI" w:cs="Segoe UI"/>
        </w:rPr>
      </w:pPr>
      <w:r w:rsidRPr="001F4A28">
        <w:rPr>
          <w:rFonts w:ascii="Segoe UI" w:hAnsi="Segoe UI" w:cs="Segoe UI"/>
          <w:noProof/>
          <w:lang w:eastAsia="en-GB"/>
        </w:rPr>
        <w:lastRenderedPageBreak/>
        <w:drawing>
          <wp:inline distT="0" distB="0" distL="0" distR="0">
            <wp:extent cx="5943600" cy="2743200"/>
            <wp:effectExtent l="0" t="19050" r="76200" b="5715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6D21" w:rsidRDefault="001F4A28">
      <w:pPr>
        <w:rPr>
          <w:rFonts w:ascii="Segoe UI" w:hAnsi="Segoe UI" w:cs="Segoe UI"/>
        </w:rPr>
      </w:pPr>
      <w:r w:rsidRPr="001F4A28">
        <w:rPr>
          <w:rFonts w:ascii="Segoe UI" w:hAnsi="Segoe UI" w:cs="Segoe UI"/>
          <w:noProof/>
          <w:lang w:eastAsia="en-GB"/>
        </w:rPr>
        <w:drawing>
          <wp:inline distT="0" distB="0" distL="0" distR="0">
            <wp:extent cx="5943600" cy="2743200"/>
            <wp:effectExtent l="0" t="19050" r="76200" b="5715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5CF6" w:rsidRDefault="00445CF6">
      <w:pPr>
        <w:rPr>
          <w:rFonts w:ascii="Segoe UI" w:hAnsi="Segoe UI" w:cs="Segoe UI"/>
        </w:rPr>
      </w:pPr>
    </w:p>
    <w:p w:rsidR="00616D21" w:rsidRDefault="001F4A28">
      <w:pPr>
        <w:rPr>
          <w:rFonts w:ascii="Segoe UI" w:hAnsi="Segoe UI" w:cs="Segoe UI"/>
        </w:rPr>
      </w:pPr>
      <w:r w:rsidRPr="001F4A28">
        <w:rPr>
          <w:rFonts w:ascii="Segoe UI" w:hAnsi="Segoe UI" w:cs="Segoe UI"/>
          <w:noProof/>
          <w:lang w:eastAsia="en-GB"/>
        </w:rPr>
        <w:lastRenderedPageBreak/>
        <w:drawing>
          <wp:inline distT="0" distB="0" distL="0" distR="0">
            <wp:extent cx="5943600" cy="2743200"/>
            <wp:effectExtent l="0" t="19050" r="76200" b="5715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236D" w:rsidRDefault="00EB236D">
      <w:pPr>
        <w:rPr>
          <w:rFonts w:ascii="Segoe UI" w:hAnsi="Segoe UI" w:cs="Segoe UI"/>
        </w:rPr>
      </w:pPr>
    </w:p>
    <w:p w:rsidR="00616D21" w:rsidRDefault="00B4609A">
      <w:pPr>
        <w:rPr>
          <w:rFonts w:ascii="Segoe UI" w:hAnsi="Segoe UI" w:cs="Segoe UI"/>
        </w:rPr>
      </w:pPr>
      <w:r w:rsidRPr="00B4609A">
        <w:rPr>
          <w:rFonts w:ascii="Segoe UI" w:hAnsi="Segoe UI" w:cs="Segoe UI"/>
          <w:noProof/>
          <w:lang w:eastAsia="en-GB"/>
        </w:rPr>
        <w:drawing>
          <wp:inline distT="0" distB="0" distL="0" distR="0">
            <wp:extent cx="5943600" cy="2743200"/>
            <wp:effectExtent l="0" t="19050" r="76200" b="5715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B236D" w:rsidRDefault="00EB236D">
      <w:pPr>
        <w:rPr>
          <w:rFonts w:ascii="Segoe UI" w:hAnsi="Segoe UI" w:cs="Segoe UI"/>
        </w:rPr>
      </w:pPr>
    </w:p>
    <w:p w:rsidR="00616D21" w:rsidRDefault="00B4609A">
      <w:pPr>
        <w:rPr>
          <w:rFonts w:ascii="Segoe UI" w:hAnsi="Segoe UI" w:cs="Segoe UI"/>
        </w:rPr>
      </w:pPr>
      <w:r w:rsidRPr="00B4609A">
        <w:rPr>
          <w:rFonts w:ascii="Segoe UI" w:hAnsi="Segoe UI" w:cs="Segoe UI"/>
          <w:noProof/>
          <w:lang w:eastAsia="en-GB"/>
        </w:rPr>
        <w:lastRenderedPageBreak/>
        <w:drawing>
          <wp:inline distT="0" distB="0" distL="0" distR="0">
            <wp:extent cx="5991225" cy="2743200"/>
            <wp:effectExtent l="0" t="19050" r="66675" b="5715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B236D" w:rsidRDefault="00EB236D">
      <w:pPr>
        <w:rPr>
          <w:rFonts w:ascii="Segoe UI" w:hAnsi="Segoe UI" w:cs="Segoe UI"/>
        </w:rPr>
      </w:pPr>
    </w:p>
    <w:p w:rsidR="00616D21" w:rsidRDefault="00B4609A">
      <w:pPr>
        <w:rPr>
          <w:rFonts w:ascii="Segoe UI" w:hAnsi="Segoe UI" w:cs="Segoe UI"/>
        </w:rPr>
      </w:pPr>
      <w:r w:rsidRPr="00B4609A">
        <w:rPr>
          <w:rFonts w:ascii="Segoe UI" w:hAnsi="Segoe UI" w:cs="Segoe UI"/>
          <w:noProof/>
          <w:lang w:eastAsia="en-GB"/>
        </w:rPr>
        <w:drawing>
          <wp:inline distT="0" distB="0" distL="0" distR="0">
            <wp:extent cx="5991225" cy="2743200"/>
            <wp:effectExtent l="0" t="19050" r="66675" b="5715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11F4" w:rsidRDefault="00D711F4">
      <w:pPr>
        <w:rPr>
          <w:rFonts w:ascii="Segoe UI" w:hAnsi="Segoe UI" w:cs="Segoe UI"/>
        </w:rPr>
      </w:pPr>
    </w:p>
    <w:p w:rsidR="00616D21" w:rsidRDefault="00616D21">
      <w:pPr>
        <w:rPr>
          <w:rFonts w:ascii="Segoe UI" w:hAnsi="Segoe UI" w:cs="Segoe UI"/>
        </w:rPr>
      </w:pPr>
    </w:p>
    <w:p w:rsidR="004C2A1C" w:rsidRDefault="004C2A1C">
      <w:pPr>
        <w:rPr>
          <w:rFonts w:ascii="Segoe UI" w:hAnsi="Segoe UI" w:cs="Segoe UI"/>
        </w:rPr>
      </w:pPr>
    </w:p>
    <w:p w:rsidR="003C1462" w:rsidRDefault="00465750">
      <w:pPr>
        <w:rPr>
          <w:rFonts w:ascii="Segoe UI" w:hAnsi="Segoe UI" w:cs="Segoe UI"/>
        </w:rPr>
      </w:pPr>
      <w:r>
        <w:rPr>
          <w:rFonts w:ascii="Segoe UI" w:hAnsi="Segoe UI" w:cs="Segoe UI"/>
        </w:rPr>
        <w:t>In England m</w:t>
      </w:r>
      <w:r w:rsidR="003C1462">
        <w:rPr>
          <w:rFonts w:ascii="Segoe UI" w:hAnsi="Segoe UI" w:cs="Segoe UI"/>
        </w:rPr>
        <w:t>ost housing supply comes from new builds, and this is greatest for Predominantly Rural areas.  As might be expected the rate of demolitions and conversations is greatest in Predominantly Urban areas.</w:t>
      </w:r>
    </w:p>
    <w:p w:rsidR="004C2A1C" w:rsidRDefault="00DD0F1F">
      <w:pPr>
        <w:rPr>
          <w:rFonts w:ascii="Segoe UI" w:hAnsi="Segoe UI" w:cs="Segoe UI"/>
        </w:rPr>
      </w:pPr>
      <w:r>
        <w:rPr>
          <w:rFonts w:ascii="Segoe UI" w:hAnsi="Segoe UI" w:cs="Segoe UI"/>
        </w:rPr>
        <w:t>For 2016-17</w:t>
      </w:r>
      <w:r w:rsidR="00465750">
        <w:rPr>
          <w:rFonts w:ascii="Segoe UI" w:hAnsi="Segoe UI" w:cs="Segoe UI"/>
        </w:rPr>
        <w:t xml:space="preserve"> </w:t>
      </w:r>
      <w:r w:rsidR="00483B7B">
        <w:rPr>
          <w:rFonts w:ascii="Segoe UI" w:hAnsi="Segoe UI" w:cs="Segoe UI"/>
        </w:rPr>
        <w:t>East Sussex</w:t>
      </w:r>
      <w:r w:rsidR="002651E1">
        <w:rPr>
          <w:rFonts w:ascii="Segoe UI" w:hAnsi="Segoe UI" w:cs="Segoe UI"/>
        </w:rPr>
        <w:t xml:space="preserve"> </w:t>
      </w:r>
      <w:r w:rsidR="00465750">
        <w:rPr>
          <w:rFonts w:ascii="Segoe UI" w:hAnsi="Segoe UI" w:cs="Segoe UI"/>
        </w:rPr>
        <w:t xml:space="preserve">had net additions of </w:t>
      </w:r>
      <w:r w:rsidR="00483B7B">
        <w:rPr>
          <w:rFonts w:ascii="Segoe UI" w:hAnsi="Segoe UI" w:cs="Segoe UI"/>
        </w:rPr>
        <w:t>1,445</w:t>
      </w:r>
      <w:r w:rsidR="004A44E1">
        <w:rPr>
          <w:rFonts w:ascii="Segoe UI" w:hAnsi="Segoe UI" w:cs="Segoe UI"/>
        </w:rPr>
        <w:t xml:space="preserve"> dwellings</w:t>
      </w:r>
      <w:r w:rsidR="00465750">
        <w:rPr>
          <w:rFonts w:ascii="Segoe UI" w:hAnsi="Segoe UI" w:cs="Segoe UI"/>
        </w:rPr>
        <w:t xml:space="preserve"> comprised of </w:t>
      </w:r>
      <w:r w:rsidR="00483B7B">
        <w:rPr>
          <w:rFonts w:ascii="Segoe UI" w:hAnsi="Segoe UI" w:cs="Segoe UI"/>
        </w:rPr>
        <w:t>1,091</w:t>
      </w:r>
      <w:r w:rsidR="00465750">
        <w:rPr>
          <w:rFonts w:ascii="Segoe UI" w:hAnsi="Segoe UI" w:cs="Segoe UI"/>
        </w:rPr>
        <w:t xml:space="preserve"> new builds, </w:t>
      </w:r>
      <w:r w:rsidR="00483B7B">
        <w:rPr>
          <w:rFonts w:ascii="Segoe UI" w:hAnsi="Segoe UI" w:cs="Segoe UI"/>
        </w:rPr>
        <w:t>63</w:t>
      </w:r>
      <w:r w:rsidR="00465750">
        <w:rPr>
          <w:rFonts w:ascii="Segoe UI" w:hAnsi="Segoe UI" w:cs="Segoe UI"/>
        </w:rPr>
        <w:t xml:space="preserve"> conversations, </w:t>
      </w:r>
      <w:r w:rsidR="00483B7B">
        <w:rPr>
          <w:rFonts w:ascii="Segoe UI" w:hAnsi="Segoe UI" w:cs="Segoe UI"/>
        </w:rPr>
        <w:t>319</w:t>
      </w:r>
      <w:r w:rsidR="00465750">
        <w:rPr>
          <w:rFonts w:ascii="Segoe UI" w:hAnsi="Segoe UI" w:cs="Segoe UI"/>
        </w:rPr>
        <w:t xml:space="preserve"> change of use, and </w:t>
      </w:r>
      <w:r>
        <w:rPr>
          <w:rFonts w:ascii="Segoe UI" w:hAnsi="Segoe UI" w:cs="Segoe UI"/>
        </w:rPr>
        <w:t>2</w:t>
      </w:r>
      <w:r w:rsidR="00483B7B">
        <w:rPr>
          <w:rFonts w:ascii="Segoe UI" w:hAnsi="Segoe UI" w:cs="Segoe UI"/>
        </w:rPr>
        <w:t>8</w:t>
      </w:r>
      <w:r w:rsidR="00465750">
        <w:rPr>
          <w:rFonts w:ascii="Segoe UI" w:hAnsi="Segoe UI" w:cs="Segoe UI"/>
        </w:rPr>
        <w:t xml:space="preserve"> demolitions (the remaining being 'net other gains and losses')</w:t>
      </w:r>
      <w:r w:rsidR="00377466">
        <w:rPr>
          <w:rFonts w:ascii="Segoe UI" w:hAnsi="Segoe UI" w:cs="Segoe UI"/>
        </w:rPr>
        <w:t>.</w:t>
      </w:r>
    </w:p>
    <w:p w:rsidR="002D62CB" w:rsidRDefault="002D62CB">
      <w:pPr>
        <w:rPr>
          <w:rFonts w:ascii="Segoe UI" w:hAnsi="Segoe UI" w:cs="Segoe UI"/>
        </w:rPr>
      </w:pPr>
    </w:p>
    <w:p w:rsidR="00765529" w:rsidRDefault="00765529">
      <w:pPr>
        <w:rPr>
          <w:rFonts w:ascii="Segoe UI" w:hAnsi="Segoe UI" w:cs="Segoe UI"/>
        </w:rPr>
      </w:pPr>
    </w:p>
    <w:p w:rsidR="00B66EC4" w:rsidRDefault="00A16075">
      <w:pPr>
        <w:rPr>
          <w:rFonts w:ascii="Segoe UI" w:hAnsi="Segoe UI" w:cs="Segoe UI"/>
          <w:b/>
          <w:u w:val="single"/>
        </w:rPr>
      </w:pPr>
      <w:bookmarkStart w:id="2" w:name="Affordability"/>
      <w:r>
        <w:rPr>
          <w:rFonts w:ascii="Segoe UI" w:hAnsi="Segoe UI" w:cs="Segoe UI"/>
          <w:b/>
          <w:u w:val="single"/>
        </w:rPr>
        <w:lastRenderedPageBreak/>
        <w:t>Housing and accommodation affordability</w:t>
      </w:r>
    </w:p>
    <w:bookmarkEnd w:id="2"/>
    <w:p w:rsidR="00137983" w:rsidRPr="00AB2003" w:rsidRDefault="00C427E1">
      <w:pPr>
        <w:rPr>
          <w:rFonts w:ascii="Segoe UI" w:hAnsi="Segoe UI" w:cs="Segoe UI"/>
          <w:b/>
        </w:rPr>
      </w:pPr>
      <w:r w:rsidRPr="00C427E1">
        <w:rPr>
          <w:rFonts w:ascii="Segoe UI" w:hAnsi="Segoe UI" w:cs="Segoe UI"/>
          <w:b/>
          <w:noProof/>
          <w:lang w:eastAsia="en-GB"/>
        </w:rPr>
        <w:drawing>
          <wp:inline distT="0" distB="0" distL="0" distR="0">
            <wp:extent cx="5943600" cy="2743200"/>
            <wp:effectExtent l="0" t="19050" r="76200" b="57150"/>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711F4" w:rsidRDefault="00D711F4">
      <w:pPr>
        <w:rPr>
          <w:rFonts w:ascii="Segoe UI" w:hAnsi="Segoe UI" w:cs="Segoe UI"/>
          <w:b/>
        </w:rPr>
      </w:pPr>
    </w:p>
    <w:p w:rsidR="003815DA" w:rsidRDefault="00C427E1">
      <w:pPr>
        <w:rPr>
          <w:rFonts w:ascii="Segoe UI" w:hAnsi="Segoe UI" w:cs="Segoe UI"/>
          <w:b/>
        </w:rPr>
      </w:pPr>
      <w:r w:rsidRPr="00C427E1">
        <w:rPr>
          <w:rFonts w:ascii="Segoe UI" w:hAnsi="Segoe UI" w:cs="Segoe UI"/>
          <w:b/>
          <w:noProof/>
          <w:lang w:eastAsia="en-GB"/>
        </w:rPr>
        <w:drawing>
          <wp:inline distT="0" distB="0" distL="0" distR="0">
            <wp:extent cx="5943600" cy="2743200"/>
            <wp:effectExtent l="0" t="19050" r="76200" b="57150"/>
            <wp:docPr id="1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7EEE" w:rsidRDefault="00427EEE">
      <w:pPr>
        <w:rPr>
          <w:rFonts w:ascii="Segoe UI" w:hAnsi="Segoe UI" w:cs="Segoe UI"/>
          <w:b/>
        </w:rPr>
      </w:pPr>
    </w:p>
    <w:p w:rsidR="009902B8" w:rsidRDefault="009902B8">
      <w:pPr>
        <w:rPr>
          <w:rFonts w:ascii="Segoe UI" w:hAnsi="Segoe UI" w:cs="Segoe UI"/>
          <w:i/>
        </w:rPr>
      </w:pPr>
    </w:p>
    <w:p w:rsidR="00377466" w:rsidRPr="00F7542E" w:rsidRDefault="00F7542E">
      <w:pPr>
        <w:rPr>
          <w:rFonts w:ascii="Segoe UI" w:hAnsi="Segoe UI" w:cs="Segoe UI"/>
        </w:rPr>
      </w:pPr>
      <w:r>
        <w:rPr>
          <w:rFonts w:ascii="Segoe UI" w:hAnsi="Segoe UI" w:cs="Segoe UI"/>
        </w:rPr>
        <w:t xml:space="preserve">Access to affordable housing is a continuing issue and the ratio of house price to earnings </w:t>
      </w:r>
      <w:r w:rsidR="00C427E1">
        <w:rPr>
          <w:rFonts w:ascii="Segoe UI" w:hAnsi="Segoe UI" w:cs="Segoe UI"/>
        </w:rPr>
        <w:t>continues to grow both for Predominantly Rural and Urban areas</w:t>
      </w:r>
      <w:r>
        <w:rPr>
          <w:rFonts w:ascii="Segoe UI" w:hAnsi="Segoe UI" w:cs="Segoe UI"/>
        </w:rPr>
        <w:t>.</w:t>
      </w:r>
    </w:p>
    <w:p w:rsidR="00377466" w:rsidRPr="009902B8" w:rsidRDefault="00377466">
      <w:pPr>
        <w:rPr>
          <w:rFonts w:ascii="Segoe UI" w:hAnsi="Segoe UI" w:cs="Segoe UI"/>
          <w:i/>
        </w:rPr>
      </w:pPr>
    </w:p>
    <w:p w:rsidR="00500FD5" w:rsidRPr="00153631" w:rsidRDefault="00AE3362">
      <w:pPr>
        <w:rPr>
          <w:rFonts w:ascii="Segoe UI" w:hAnsi="Segoe UI" w:cs="Segoe UI"/>
          <w:b/>
          <w:u w:val="single"/>
        </w:rPr>
      </w:pPr>
      <w:bookmarkStart w:id="3" w:name="Rental"/>
      <w:r w:rsidRPr="00153631">
        <w:rPr>
          <w:rFonts w:ascii="Segoe UI" w:hAnsi="Segoe UI" w:cs="Segoe UI"/>
          <w:b/>
          <w:u w:val="single"/>
        </w:rPr>
        <w:t>Private</w:t>
      </w:r>
      <w:r w:rsidR="00A16075">
        <w:rPr>
          <w:rFonts w:ascii="Segoe UI" w:hAnsi="Segoe UI" w:cs="Segoe UI"/>
          <w:b/>
          <w:u w:val="single"/>
        </w:rPr>
        <w:t xml:space="preserve"> rental affordability</w:t>
      </w:r>
    </w:p>
    <w:bookmarkEnd w:id="3"/>
    <w:p w:rsidR="00153631" w:rsidRDefault="00153631">
      <w:pPr>
        <w:rPr>
          <w:rFonts w:ascii="Segoe UI" w:hAnsi="Segoe UI" w:cs="Segoe UI"/>
        </w:rPr>
      </w:pPr>
    </w:p>
    <w:p w:rsidR="0052568F" w:rsidRDefault="0052568F">
      <w:pPr>
        <w:rPr>
          <w:rFonts w:ascii="Segoe UI" w:hAnsi="Segoe UI" w:cs="Segoe UI"/>
        </w:rPr>
      </w:pPr>
      <w:r w:rsidRPr="0052568F">
        <w:rPr>
          <w:rFonts w:ascii="Segoe UI" w:hAnsi="Segoe UI" w:cs="Segoe UI"/>
          <w:noProof/>
          <w:lang w:eastAsia="en-GB"/>
        </w:rPr>
        <w:lastRenderedPageBreak/>
        <w:drawing>
          <wp:inline distT="0" distB="0" distL="0" distR="0">
            <wp:extent cx="5943600" cy="3114675"/>
            <wp:effectExtent l="0" t="19050" r="76200" b="47625"/>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86701" w:rsidRDefault="00886701">
      <w:pPr>
        <w:rPr>
          <w:rFonts w:ascii="Segoe UI" w:hAnsi="Segoe UI" w:cs="Segoe UI"/>
        </w:rPr>
      </w:pPr>
    </w:p>
    <w:p w:rsidR="00E43E31" w:rsidRDefault="00E43E31">
      <w:pPr>
        <w:rPr>
          <w:rFonts w:ascii="Segoe UI" w:hAnsi="Segoe UI" w:cs="Segoe UI"/>
        </w:rPr>
      </w:pPr>
      <w:r>
        <w:rPr>
          <w:rFonts w:ascii="Segoe UI" w:hAnsi="Segoe UI" w:cs="Segoe UI"/>
        </w:rPr>
        <w:t xml:space="preserve">Private registered provider rents are similar between Predominantly Rural and Predominantly Urban areas.  </w:t>
      </w:r>
      <w:r w:rsidR="006E0A15">
        <w:rPr>
          <w:rFonts w:ascii="Segoe UI" w:hAnsi="Segoe UI" w:cs="Segoe UI"/>
        </w:rPr>
        <w:t>Workplace based e</w:t>
      </w:r>
      <w:r>
        <w:rPr>
          <w:rFonts w:ascii="Segoe UI" w:hAnsi="Segoe UI" w:cs="Segoe UI"/>
        </w:rPr>
        <w:t xml:space="preserve">arnings for individuals who work in urban areas are generally slightly higher than </w:t>
      </w:r>
      <w:r w:rsidR="006E0A15">
        <w:rPr>
          <w:rFonts w:ascii="Segoe UI" w:hAnsi="Segoe UI" w:cs="Segoe UI"/>
        </w:rPr>
        <w:t>for individuals who work</w:t>
      </w:r>
      <w:r>
        <w:rPr>
          <w:rFonts w:ascii="Segoe UI" w:hAnsi="Segoe UI" w:cs="Segoe UI"/>
        </w:rPr>
        <w:t xml:space="preserve"> in rural areas, which may result in lower affordability in rural areas</w:t>
      </w:r>
      <w:r w:rsidR="006E0A15">
        <w:rPr>
          <w:rFonts w:ascii="Segoe UI" w:hAnsi="Segoe UI" w:cs="Segoe UI"/>
        </w:rPr>
        <w:t xml:space="preserve"> for local workers</w:t>
      </w:r>
      <w:r>
        <w:rPr>
          <w:rFonts w:ascii="Segoe UI" w:hAnsi="Segoe UI" w:cs="Segoe UI"/>
        </w:rPr>
        <w:t>.</w:t>
      </w:r>
    </w:p>
    <w:p w:rsidR="00E43E31" w:rsidRDefault="00E43E31">
      <w:pPr>
        <w:rPr>
          <w:rFonts w:ascii="Segoe UI" w:hAnsi="Segoe UI" w:cs="Segoe UI"/>
        </w:rPr>
      </w:pPr>
    </w:p>
    <w:p w:rsidR="00886701" w:rsidRDefault="00A16075">
      <w:pPr>
        <w:rPr>
          <w:rFonts w:ascii="Segoe UI" w:hAnsi="Segoe UI" w:cs="Segoe UI"/>
          <w:b/>
          <w:u w:val="single"/>
        </w:rPr>
      </w:pPr>
      <w:bookmarkStart w:id="4" w:name="Homelessness"/>
      <w:r>
        <w:rPr>
          <w:rFonts w:ascii="Segoe UI" w:hAnsi="Segoe UI" w:cs="Segoe UI"/>
          <w:b/>
          <w:u w:val="single"/>
        </w:rPr>
        <w:t>Homelessness and Temporary Accommodation</w:t>
      </w:r>
    </w:p>
    <w:bookmarkEnd w:id="4"/>
    <w:p w:rsidR="00CB452F" w:rsidRDefault="00CB452F">
      <w:pPr>
        <w:rPr>
          <w:rFonts w:ascii="Segoe UI" w:hAnsi="Segoe UI" w:cs="Segoe UI"/>
        </w:rPr>
      </w:pPr>
    </w:p>
    <w:p w:rsidR="00CB452F" w:rsidRDefault="00CB452F">
      <w:pPr>
        <w:rPr>
          <w:rFonts w:ascii="Segoe UI" w:hAnsi="Segoe UI" w:cs="Segoe UI"/>
        </w:rPr>
      </w:pPr>
    </w:p>
    <w:p w:rsidR="009579D3" w:rsidRDefault="009579D3">
      <w:pPr>
        <w:rPr>
          <w:rFonts w:ascii="Segoe UI" w:hAnsi="Segoe UI" w:cs="Segoe UI"/>
        </w:rPr>
      </w:pPr>
      <w:r w:rsidRPr="009579D3">
        <w:rPr>
          <w:rFonts w:ascii="Segoe UI" w:hAnsi="Segoe UI" w:cs="Segoe UI"/>
          <w:noProof/>
          <w:lang w:eastAsia="en-GB"/>
        </w:rPr>
        <w:drawing>
          <wp:inline distT="0" distB="0" distL="0" distR="0">
            <wp:extent cx="6000750" cy="2743200"/>
            <wp:effectExtent l="0" t="19050" r="76200" b="57150"/>
            <wp:docPr id="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7007C" w:rsidRDefault="009579D3">
      <w:pPr>
        <w:rPr>
          <w:rFonts w:ascii="Segoe UI" w:hAnsi="Segoe UI" w:cs="Segoe UI"/>
        </w:rPr>
      </w:pPr>
      <w:r w:rsidRPr="009579D3">
        <w:rPr>
          <w:rFonts w:ascii="Segoe UI" w:hAnsi="Segoe UI" w:cs="Segoe UI"/>
          <w:noProof/>
          <w:lang w:eastAsia="en-GB"/>
        </w:rPr>
        <w:lastRenderedPageBreak/>
        <w:drawing>
          <wp:inline distT="0" distB="0" distL="0" distR="0">
            <wp:extent cx="5943600" cy="2743200"/>
            <wp:effectExtent l="0" t="19050" r="76200" b="57150"/>
            <wp:docPr id="2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B452F" w:rsidRDefault="00CB452F">
      <w:pPr>
        <w:rPr>
          <w:rFonts w:ascii="Segoe UI" w:hAnsi="Segoe UI" w:cs="Segoe UI"/>
        </w:rPr>
      </w:pPr>
    </w:p>
    <w:p w:rsidR="00CB452F" w:rsidRDefault="00CB452F">
      <w:pPr>
        <w:rPr>
          <w:rFonts w:ascii="Segoe UI" w:hAnsi="Segoe UI" w:cs="Segoe UI"/>
        </w:rPr>
      </w:pPr>
    </w:p>
    <w:p w:rsidR="00326C5A" w:rsidRDefault="00326C5A">
      <w:pPr>
        <w:rPr>
          <w:rFonts w:ascii="Segoe UI" w:hAnsi="Segoe UI" w:cs="Segoe UI"/>
        </w:rPr>
      </w:pPr>
      <w:r>
        <w:rPr>
          <w:rFonts w:ascii="Segoe UI" w:hAnsi="Segoe UI" w:cs="Segoe UI"/>
        </w:rPr>
        <w:t xml:space="preserve">In </w:t>
      </w:r>
      <w:r w:rsidR="00483B7B">
        <w:rPr>
          <w:rFonts w:ascii="Segoe UI" w:hAnsi="Segoe UI" w:cs="Segoe UI"/>
        </w:rPr>
        <w:t>East Sussex</w:t>
      </w:r>
      <w:r>
        <w:rPr>
          <w:rFonts w:ascii="Segoe UI" w:hAnsi="Segoe UI" w:cs="Segoe UI"/>
        </w:rPr>
        <w:t xml:space="preserve"> i</w:t>
      </w:r>
      <w:r w:rsidR="009579D3">
        <w:rPr>
          <w:rFonts w:ascii="Segoe UI" w:hAnsi="Segoe UI" w:cs="Segoe UI"/>
        </w:rPr>
        <w:t>n 2016</w:t>
      </w:r>
      <w:r>
        <w:rPr>
          <w:rFonts w:ascii="Segoe UI" w:hAnsi="Segoe UI" w:cs="Segoe UI"/>
        </w:rPr>
        <w:t>/1</w:t>
      </w:r>
      <w:r w:rsidR="009579D3">
        <w:rPr>
          <w:rFonts w:ascii="Segoe UI" w:hAnsi="Segoe UI" w:cs="Segoe UI"/>
        </w:rPr>
        <w:t>7</w:t>
      </w:r>
      <w:r>
        <w:rPr>
          <w:rFonts w:ascii="Segoe UI" w:hAnsi="Segoe UI" w:cs="Segoe UI"/>
        </w:rPr>
        <w:t xml:space="preserve"> the number accepted as homeless and in priority n</w:t>
      </w:r>
      <w:r w:rsidR="009579D3">
        <w:rPr>
          <w:rFonts w:ascii="Segoe UI" w:hAnsi="Segoe UI" w:cs="Segoe UI"/>
        </w:rPr>
        <w:t xml:space="preserve">eed per 1,000 households was </w:t>
      </w:r>
      <w:r w:rsidR="00483B7B">
        <w:rPr>
          <w:rFonts w:ascii="Segoe UI" w:hAnsi="Segoe UI" w:cs="Segoe UI"/>
        </w:rPr>
        <w:t>2.6</w:t>
      </w:r>
      <w:r>
        <w:rPr>
          <w:rFonts w:ascii="Segoe UI" w:hAnsi="Segoe UI" w:cs="Segoe UI"/>
        </w:rPr>
        <w:t>, the number of households accommodated in temporary accommodat</w:t>
      </w:r>
      <w:r w:rsidR="00483B7B">
        <w:rPr>
          <w:rFonts w:ascii="Segoe UI" w:hAnsi="Segoe UI" w:cs="Segoe UI"/>
        </w:rPr>
        <w:t>ion per 1,000 households was 1</w:t>
      </w:r>
      <w:r w:rsidR="009579D3">
        <w:rPr>
          <w:rFonts w:ascii="Segoe UI" w:hAnsi="Segoe UI" w:cs="Segoe UI"/>
        </w:rPr>
        <w:t>.1</w:t>
      </w:r>
      <w:r>
        <w:rPr>
          <w:rFonts w:ascii="Segoe UI" w:hAnsi="Segoe UI" w:cs="Segoe UI"/>
        </w:rPr>
        <w:t>.</w:t>
      </w:r>
    </w:p>
    <w:p w:rsidR="00EE339D" w:rsidRDefault="00EE339D">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60780B">
      <w:pPr>
        <w:rPr>
          <w:rFonts w:ascii="Segoe UI" w:hAnsi="Segoe UI" w:cs="Segoe UI"/>
        </w:rPr>
      </w:pPr>
      <w:r>
        <w:rPr>
          <w:rFonts w:ascii="Segoe UI" w:hAnsi="Segoe UI" w:cs="Segoe UI"/>
        </w:rPr>
        <w:t>MHCLG</w:t>
      </w:r>
      <w:r w:rsidR="006F75BA">
        <w:rPr>
          <w:rFonts w:ascii="Segoe UI" w:hAnsi="Segoe UI" w:cs="Segoe UI"/>
        </w:rPr>
        <w:t xml:space="preserve"> </w:t>
      </w:r>
      <w:proofErr w:type="spellStart"/>
      <w:r w:rsidR="006F75BA">
        <w:rPr>
          <w:rFonts w:ascii="Segoe UI" w:hAnsi="Segoe UI" w:cs="Segoe UI"/>
        </w:rPr>
        <w:t>Housebuilding</w:t>
      </w:r>
      <w:proofErr w:type="spellEnd"/>
      <w:r w:rsidR="006F75BA">
        <w:rPr>
          <w:rFonts w:ascii="Segoe UI" w:hAnsi="Segoe UI" w:cs="Segoe UI"/>
        </w:rPr>
        <w:t xml:space="preserve"> S</w:t>
      </w:r>
      <w:r w:rsidR="00E07698" w:rsidRPr="00E07698">
        <w:rPr>
          <w:rFonts w:ascii="Segoe UI" w:hAnsi="Segoe UI" w:cs="Segoe UI"/>
        </w:rPr>
        <w:t xml:space="preserve">tatistics </w:t>
      </w:r>
      <w:r w:rsidR="00E07698">
        <w:rPr>
          <w:rFonts w:ascii="Segoe UI" w:hAnsi="Segoe UI" w:cs="Segoe UI"/>
        </w:rPr>
        <w:t xml:space="preserve">- </w:t>
      </w:r>
      <w:r w:rsidR="009E5806">
        <w:rPr>
          <w:rFonts w:ascii="Segoe UI" w:hAnsi="Segoe UI" w:cs="Segoe UI"/>
        </w:rPr>
        <w:t xml:space="preserve">Table 253 </w:t>
      </w:r>
      <w:proofErr w:type="spellStart"/>
      <w:r w:rsidR="009E5806">
        <w:rPr>
          <w:rFonts w:ascii="Segoe UI" w:hAnsi="Segoe UI" w:cs="Segoe UI"/>
        </w:rPr>
        <w:t>Housebuilding</w:t>
      </w:r>
      <w:proofErr w:type="spellEnd"/>
    </w:p>
    <w:p w:rsidR="00FE0842" w:rsidRDefault="0060780B">
      <w:pPr>
        <w:rPr>
          <w:rFonts w:ascii="Segoe UI" w:hAnsi="Segoe UI" w:cs="Segoe UI"/>
        </w:rPr>
      </w:pPr>
      <w:r>
        <w:rPr>
          <w:rFonts w:ascii="Segoe UI" w:hAnsi="Segoe UI" w:cs="Segoe UI"/>
        </w:rPr>
        <w:t>MHCLG</w:t>
      </w:r>
      <w:r w:rsidR="006F75BA">
        <w:rPr>
          <w:rFonts w:ascii="Segoe UI" w:hAnsi="Segoe UI" w:cs="Segoe UI"/>
        </w:rPr>
        <w:t xml:space="preserve"> </w:t>
      </w:r>
      <w:proofErr w:type="spellStart"/>
      <w:r w:rsidR="006F75BA">
        <w:rPr>
          <w:rFonts w:ascii="Segoe UI" w:hAnsi="Segoe UI" w:cs="Segoe UI"/>
        </w:rPr>
        <w:t>Housebuilding</w:t>
      </w:r>
      <w:proofErr w:type="spellEnd"/>
      <w:r w:rsidR="006F75BA">
        <w:rPr>
          <w:rFonts w:ascii="Segoe UI" w:hAnsi="Segoe UI" w:cs="Segoe UI"/>
        </w:rPr>
        <w:t xml:space="preserve"> S</w:t>
      </w:r>
      <w:r w:rsidR="009E5806" w:rsidRPr="00E07698">
        <w:rPr>
          <w:rFonts w:ascii="Segoe UI" w:hAnsi="Segoe UI" w:cs="Segoe UI"/>
        </w:rPr>
        <w:t xml:space="preserve">tatistics </w:t>
      </w:r>
      <w:r w:rsidR="009E5806">
        <w:rPr>
          <w:rFonts w:ascii="Segoe UI" w:hAnsi="Segoe UI" w:cs="Segoe UI"/>
        </w:rPr>
        <w:t>- Table 123 Housing Supply</w:t>
      </w:r>
    </w:p>
    <w:p w:rsidR="00FE0842" w:rsidRDefault="0065405D">
      <w:pPr>
        <w:rPr>
          <w:rFonts w:ascii="Segoe UI" w:hAnsi="Segoe UI" w:cs="Segoe UI"/>
        </w:rPr>
      </w:pPr>
      <w:r>
        <w:rPr>
          <w:rFonts w:ascii="Segoe UI" w:hAnsi="Segoe UI" w:cs="Segoe UI"/>
        </w:rPr>
        <w:t>ONS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Ratio of house price to workplace-based earning</w:t>
      </w:r>
      <w:r w:rsidR="006F75BA">
        <w:rPr>
          <w:rFonts w:ascii="Segoe UI" w:hAnsi="Segoe UI" w:cs="Segoe UI"/>
        </w:rPr>
        <w:t>s</w:t>
      </w:r>
      <w:r>
        <w:rPr>
          <w:rFonts w:ascii="Segoe UI" w:hAnsi="Segoe UI" w:cs="Segoe UI"/>
        </w:rPr>
        <w:t xml:space="preserve"> (lower quartile and median)</w:t>
      </w:r>
    </w:p>
    <w:p w:rsidR="00FE0842" w:rsidRDefault="0060780B">
      <w:pPr>
        <w:rPr>
          <w:rFonts w:ascii="Segoe UI" w:hAnsi="Segoe UI" w:cs="Segoe UI"/>
        </w:rPr>
      </w:pPr>
      <w:r>
        <w:rPr>
          <w:rFonts w:ascii="Segoe UI" w:hAnsi="Segoe UI" w:cs="Segoe UI"/>
        </w:rPr>
        <w:t>MHCLG</w:t>
      </w:r>
      <w:r w:rsidR="006F75BA">
        <w:rPr>
          <w:rFonts w:ascii="Segoe UI" w:hAnsi="Segoe UI" w:cs="Segoe UI"/>
        </w:rPr>
        <w:t xml:space="preserve"> Housing S</w:t>
      </w:r>
      <w:r w:rsidR="006F75BA" w:rsidRPr="00E07698">
        <w:rPr>
          <w:rFonts w:ascii="Segoe UI" w:hAnsi="Segoe UI" w:cs="Segoe UI"/>
        </w:rPr>
        <w:t xml:space="preserve">tatistics </w:t>
      </w:r>
      <w:r w:rsidR="006F75BA">
        <w:rPr>
          <w:rFonts w:ascii="Segoe UI" w:hAnsi="Segoe UI" w:cs="Segoe UI"/>
        </w:rPr>
        <w:t xml:space="preserve">- </w:t>
      </w:r>
      <w:r w:rsidR="006F75BA" w:rsidRPr="006F75BA">
        <w:rPr>
          <w:rFonts w:ascii="Segoe UI" w:hAnsi="Segoe UI" w:cs="Segoe UI"/>
        </w:rPr>
        <w:t>Table 704 Private Registered Provider (PRP) rents</w:t>
      </w:r>
    </w:p>
    <w:p w:rsidR="00FE0842" w:rsidRDefault="0060780B">
      <w:pPr>
        <w:rPr>
          <w:rFonts w:ascii="Segoe UI" w:hAnsi="Segoe UI" w:cs="Segoe UI"/>
        </w:rPr>
      </w:pPr>
      <w:r>
        <w:rPr>
          <w:rFonts w:ascii="Segoe UI" w:hAnsi="Segoe UI" w:cs="Segoe UI"/>
        </w:rPr>
        <w:t>MH</w:t>
      </w:r>
      <w:r w:rsidR="006F75BA">
        <w:rPr>
          <w:rFonts w:ascii="Segoe UI" w:hAnsi="Segoe UI" w:cs="Segoe UI"/>
        </w:rPr>
        <w:t>CLG Homelessness S</w:t>
      </w:r>
      <w:r w:rsidR="006F75BA" w:rsidRPr="00E07698">
        <w:rPr>
          <w:rFonts w:ascii="Segoe UI" w:hAnsi="Segoe UI" w:cs="Segoe UI"/>
        </w:rPr>
        <w:t xml:space="preserve">tatistics </w:t>
      </w:r>
      <w:r w:rsidR="006F75BA">
        <w:rPr>
          <w:rFonts w:ascii="Segoe UI" w:hAnsi="Segoe UI" w:cs="Segoe UI"/>
        </w:rPr>
        <w:t>-</w:t>
      </w:r>
      <w:r w:rsidR="00F8009A">
        <w:rPr>
          <w:rFonts w:ascii="Segoe UI" w:hAnsi="Segoe UI" w:cs="Segoe UI"/>
        </w:rPr>
        <w:t xml:space="preserve"> Table 784 Local Authorities' Action Under The H</w:t>
      </w:r>
      <w:r w:rsidR="00F8009A" w:rsidRPr="00F8009A">
        <w:rPr>
          <w:rFonts w:ascii="Segoe UI" w:hAnsi="Segoe UI" w:cs="Segoe UI"/>
        </w:rPr>
        <w:t xml:space="preserve">omelessness </w:t>
      </w:r>
      <w:r w:rsidR="00F8009A">
        <w:rPr>
          <w:rFonts w:ascii="Segoe UI" w:hAnsi="Segoe UI" w:cs="Segoe UI"/>
        </w:rPr>
        <w:t>P</w:t>
      </w:r>
      <w:r w:rsidR="00F8009A" w:rsidRPr="00F8009A">
        <w:rPr>
          <w:rFonts w:ascii="Segoe UI" w:hAnsi="Segoe UI" w:cs="Segoe UI"/>
        </w:rPr>
        <w:t>rovisions of the 1985 and 1996 Housing Acts</w:t>
      </w:r>
    </w:p>
    <w:p w:rsidR="007669F4" w:rsidRDefault="0060780B">
      <w:pPr>
        <w:rPr>
          <w:rFonts w:ascii="Segoe UI" w:hAnsi="Segoe UI" w:cs="Segoe UI"/>
        </w:rPr>
      </w:pPr>
      <w:r>
        <w:rPr>
          <w:rFonts w:ascii="Segoe UI" w:hAnsi="Segoe UI" w:cs="Segoe UI"/>
        </w:rPr>
        <w:t>MHCLG</w:t>
      </w:r>
      <w:r w:rsidR="007669F4">
        <w:rPr>
          <w:rFonts w:ascii="Segoe UI" w:hAnsi="Segoe UI" w:cs="Segoe UI"/>
        </w:rPr>
        <w:t xml:space="preserve"> Housing S</w:t>
      </w:r>
      <w:r w:rsidR="007669F4" w:rsidRPr="00E07698">
        <w:rPr>
          <w:rFonts w:ascii="Segoe UI" w:hAnsi="Segoe UI" w:cs="Segoe UI"/>
        </w:rPr>
        <w:t xml:space="preserve">tatistics </w:t>
      </w:r>
      <w:r w:rsidR="007669F4">
        <w:rPr>
          <w:rFonts w:ascii="Segoe UI" w:hAnsi="Segoe UI" w:cs="Segoe UI"/>
        </w:rPr>
        <w:t xml:space="preserve">- </w:t>
      </w:r>
      <w:r w:rsidR="007669F4" w:rsidRPr="006F75BA">
        <w:rPr>
          <w:rFonts w:ascii="Segoe UI" w:hAnsi="Segoe UI" w:cs="Segoe UI"/>
        </w:rPr>
        <w:t xml:space="preserve">Table </w:t>
      </w:r>
      <w:r w:rsidR="007669F4">
        <w:rPr>
          <w:rFonts w:ascii="Segoe UI" w:hAnsi="Segoe UI" w:cs="Segoe UI"/>
        </w:rPr>
        <w:t>100</w:t>
      </w:r>
      <w:r w:rsidR="007669F4" w:rsidRPr="006F75BA">
        <w:rPr>
          <w:rFonts w:ascii="Segoe UI" w:hAnsi="Segoe UI" w:cs="Segoe UI"/>
        </w:rPr>
        <w:t xml:space="preserve"> </w:t>
      </w:r>
      <w:r w:rsidR="007669F4">
        <w:rPr>
          <w:rFonts w:ascii="Segoe UI" w:hAnsi="Segoe UI" w:cs="Segoe UI"/>
        </w:rPr>
        <w:t>Dwelling Stock</w:t>
      </w:r>
    </w:p>
    <w:sectPr w:rsidR="007669F4"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34AE0"/>
    <w:rsid w:val="0004365F"/>
    <w:rsid w:val="000530C2"/>
    <w:rsid w:val="00054C2A"/>
    <w:rsid w:val="00057D91"/>
    <w:rsid w:val="00075447"/>
    <w:rsid w:val="00091178"/>
    <w:rsid w:val="00093AEC"/>
    <w:rsid w:val="000A253B"/>
    <w:rsid w:val="000A5C43"/>
    <w:rsid w:val="000B32A7"/>
    <w:rsid w:val="000B410A"/>
    <w:rsid w:val="000D1137"/>
    <w:rsid w:val="000D61FF"/>
    <w:rsid w:val="000D7426"/>
    <w:rsid w:val="000E0225"/>
    <w:rsid w:val="000E1927"/>
    <w:rsid w:val="00111193"/>
    <w:rsid w:val="00123766"/>
    <w:rsid w:val="001335C5"/>
    <w:rsid w:val="00137983"/>
    <w:rsid w:val="00153631"/>
    <w:rsid w:val="00161DD8"/>
    <w:rsid w:val="00163203"/>
    <w:rsid w:val="00163DF2"/>
    <w:rsid w:val="00165B12"/>
    <w:rsid w:val="001676C0"/>
    <w:rsid w:val="00171D21"/>
    <w:rsid w:val="001779A1"/>
    <w:rsid w:val="001C0483"/>
    <w:rsid w:val="001C52DE"/>
    <w:rsid w:val="001D6CB6"/>
    <w:rsid w:val="001E09A4"/>
    <w:rsid w:val="001E6FDC"/>
    <w:rsid w:val="001F4A28"/>
    <w:rsid w:val="00212307"/>
    <w:rsid w:val="00220E76"/>
    <w:rsid w:val="00230CF6"/>
    <w:rsid w:val="002408BD"/>
    <w:rsid w:val="002514E2"/>
    <w:rsid w:val="00256D31"/>
    <w:rsid w:val="00257FBA"/>
    <w:rsid w:val="002651E1"/>
    <w:rsid w:val="00274051"/>
    <w:rsid w:val="002746A9"/>
    <w:rsid w:val="00274ED9"/>
    <w:rsid w:val="002753AC"/>
    <w:rsid w:val="00295A64"/>
    <w:rsid w:val="00296050"/>
    <w:rsid w:val="0029760B"/>
    <w:rsid w:val="002A2D7E"/>
    <w:rsid w:val="002A547A"/>
    <w:rsid w:val="002B39D0"/>
    <w:rsid w:val="002B3CB9"/>
    <w:rsid w:val="002C1B27"/>
    <w:rsid w:val="002C6BB4"/>
    <w:rsid w:val="002D62CB"/>
    <w:rsid w:val="002D7F20"/>
    <w:rsid w:val="002F2969"/>
    <w:rsid w:val="002F7C2C"/>
    <w:rsid w:val="00314ED1"/>
    <w:rsid w:val="00321059"/>
    <w:rsid w:val="00326C5A"/>
    <w:rsid w:val="00340480"/>
    <w:rsid w:val="00340CF5"/>
    <w:rsid w:val="00350F72"/>
    <w:rsid w:val="00360FD9"/>
    <w:rsid w:val="00371E26"/>
    <w:rsid w:val="00377466"/>
    <w:rsid w:val="003815DA"/>
    <w:rsid w:val="00383CA1"/>
    <w:rsid w:val="003878B8"/>
    <w:rsid w:val="003A5C91"/>
    <w:rsid w:val="003B5117"/>
    <w:rsid w:val="003C1462"/>
    <w:rsid w:val="003C40D8"/>
    <w:rsid w:val="003D0495"/>
    <w:rsid w:val="003D7517"/>
    <w:rsid w:val="003E5BCE"/>
    <w:rsid w:val="004033DF"/>
    <w:rsid w:val="00415E18"/>
    <w:rsid w:val="00427EEE"/>
    <w:rsid w:val="00443081"/>
    <w:rsid w:val="00445CF6"/>
    <w:rsid w:val="00451FF7"/>
    <w:rsid w:val="004623CF"/>
    <w:rsid w:val="00465750"/>
    <w:rsid w:val="0047393A"/>
    <w:rsid w:val="00475274"/>
    <w:rsid w:val="00476555"/>
    <w:rsid w:val="00483B7B"/>
    <w:rsid w:val="004972B9"/>
    <w:rsid w:val="004A1C29"/>
    <w:rsid w:val="004A44E1"/>
    <w:rsid w:val="004B4BE1"/>
    <w:rsid w:val="004C095C"/>
    <w:rsid w:val="004C2A1C"/>
    <w:rsid w:val="004C5C0E"/>
    <w:rsid w:val="004D3814"/>
    <w:rsid w:val="004E747D"/>
    <w:rsid w:val="00500FD5"/>
    <w:rsid w:val="00516C0B"/>
    <w:rsid w:val="00517C92"/>
    <w:rsid w:val="00521FD8"/>
    <w:rsid w:val="0052568F"/>
    <w:rsid w:val="0053478B"/>
    <w:rsid w:val="00545A25"/>
    <w:rsid w:val="0054613A"/>
    <w:rsid w:val="00555F9F"/>
    <w:rsid w:val="00557B7F"/>
    <w:rsid w:val="00563585"/>
    <w:rsid w:val="0057388A"/>
    <w:rsid w:val="00575E1E"/>
    <w:rsid w:val="00587D4E"/>
    <w:rsid w:val="005B3FA2"/>
    <w:rsid w:val="005C33B2"/>
    <w:rsid w:val="005C458E"/>
    <w:rsid w:val="005D1AC4"/>
    <w:rsid w:val="005E19DC"/>
    <w:rsid w:val="005E1A6B"/>
    <w:rsid w:val="005E5E22"/>
    <w:rsid w:val="00600EBE"/>
    <w:rsid w:val="00604F05"/>
    <w:rsid w:val="0060780B"/>
    <w:rsid w:val="00614B35"/>
    <w:rsid w:val="0061640B"/>
    <w:rsid w:val="00616D21"/>
    <w:rsid w:val="0061724F"/>
    <w:rsid w:val="006245BC"/>
    <w:rsid w:val="006307A4"/>
    <w:rsid w:val="006464CF"/>
    <w:rsid w:val="0065405D"/>
    <w:rsid w:val="00665AAB"/>
    <w:rsid w:val="00675025"/>
    <w:rsid w:val="0068362E"/>
    <w:rsid w:val="00692E85"/>
    <w:rsid w:val="006931D7"/>
    <w:rsid w:val="006A3967"/>
    <w:rsid w:val="006A58A6"/>
    <w:rsid w:val="006E0A15"/>
    <w:rsid w:val="006E2E60"/>
    <w:rsid w:val="006E4A43"/>
    <w:rsid w:val="006F1643"/>
    <w:rsid w:val="006F4FD3"/>
    <w:rsid w:val="006F75BA"/>
    <w:rsid w:val="0070182B"/>
    <w:rsid w:val="00707CEB"/>
    <w:rsid w:val="007125E1"/>
    <w:rsid w:val="00715D9D"/>
    <w:rsid w:val="007404AB"/>
    <w:rsid w:val="0075601D"/>
    <w:rsid w:val="00765529"/>
    <w:rsid w:val="00765862"/>
    <w:rsid w:val="007669F4"/>
    <w:rsid w:val="00786635"/>
    <w:rsid w:val="00795BE1"/>
    <w:rsid w:val="007B5629"/>
    <w:rsid w:val="007D3509"/>
    <w:rsid w:val="007D4BF5"/>
    <w:rsid w:val="007E0505"/>
    <w:rsid w:val="007E21D7"/>
    <w:rsid w:val="007E65D3"/>
    <w:rsid w:val="007F66C5"/>
    <w:rsid w:val="008211F5"/>
    <w:rsid w:val="008243CA"/>
    <w:rsid w:val="0083304D"/>
    <w:rsid w:val="00855650"/>
    <w:rsid w:val="00863A32"/>
    <w:rsid w:val="00867BF8"/>
    <w:rsid w:val="00884EF2"/>
    <w:rsid w:val="00886701"/>
    <w:rsid w:val="00890675"/>
    <w:rsid w:val="008909B3"/>
    <w:rsid w:val="008A1121"/>
    <w:rsid w:val="008A5BCF"/>
    <w:rsid w:val="008C071D"/>
    <w:rsid w:val="008C5ECB"/>
    <w:rsid w:val="008C78B5"/>
    <w:rsid w:val="008D66C0"/>
    <w:rsid w:val="008E1B8F"/>
    <w:rsid w:val="008F3BE5"/>
    <w:rsid w:val="008F3CBB"/>
    <w:rsid w:val="00945181"/>
    <w:rsid w:val="009528EC"/>
    <w:rsid w:val="009539F7"/>
    <w:rsid w:val="009576E7"/>
    <w:rsid w:val="009579D3"/>
    <w:rsid w:val="009676E3"/>
    <w:rsid w:val="00975AAE"/>
    <w:rsid w:val="00975DC7"/>
    <w:rsid w:val="009867B6"/>
    <w:rsid w:val="009902B8"/>
    <w:rsid w:val="00993F57"/>
    <w:rsid w:val="009B02FC"/>
    <w:rsid w:val="009B0857"/>
    <w:rsid w:val="009B632B"/>
    <w:rsid w:val="009C76C5"/>
    <w:rsid w:val="009E1F4D"/>
    <w:rsid w:val="009E5806"/>
    <w:rsid w:val="009F5CB7"/>
    <w:rsid w:val="00A02536"/>
    <w:rsid w:val="00A05E1E"/>
    <w:rsid w:val="00A159B7"/>
    <w:rsid w:val="00A16075"/>
    <w:rsid w:val="00A16FC9"/>
    <w:rsid w:val="00A270C1"/>
    <w:rsid w:val="00A3620F"/>
    <w:rsid w:val="00A43A9A"/>
    <w:rsid w:val="00A44C1F"/>
    <w:rsid w:val="00A51127"/>
    <w:rsid w:val="00A57F92"/>
    <w:rsid w:val="00A61248"/>
    <w:rsid w:val="00A67FA7"/>
    <w:rsid w:val="00A769A7"/>
    <w:rsid w:val="00A76BD8"/>
    <w:rsid w:val="00AA4EAF"/>
    <w:rsid w:val="00AB2003"/>
    <w:rsid w:val="00AC05B9"/>
    <w:rsid w:val="00AC18BA"/>
    <w:rsid w:val="00AE2392"/>
    <w:rsid w:val="00AE3362"/>
    <w:rsid w:val="00AE3AC8"/>
    <w:rsid w:val="00AF0048"/>
    <w:rsid w:val="00B03243"/>
    <w:rsid w:val="00B4609A"/>
    <w:rsid w:val="00B66EC4"/>
    <w:rsid w:val="00B71733"/>
    <w:rsid w:val="00B82315"/>
    <w:rsid w:val="00B84331"/>
    <w:rsid w:val="00B967F2"/>
    <w:rsid w:val="00BB01EE"/>
    <w:rsid w:val="00BB6EB0"/>
    <w:rsid w:val="00BE0C65"/>
    <w:rsid w:val="00BE32D1"/>
    <w:rsid w:val="00BE3B1E"/>
    <w:rsid w:val="00BF0BE9"/>
    <w:rsid w:val="00BF44B3"/>
    <w:rsid w:val="00BF7EFC"/>
    <w:rsid w:val="00C17666"/>
    <w:rsid w:val="00C204AF"/>
    <w:rsid w:val="00C26302"/>
    <w:rsid w:val="00C27833"/>
    <w:rsid w:val="00C33EE4"/>
    <w:rsid w:val="00C427E1"/>
    <w:rsid w:val="00C60E60"/>
    <w:rsid w:val="00C62E3C"/>
    <w:rsid w:val="00C63A68"/>
    <w:rsid w:val="00C64259"/>
    <w:rsid w:val="00C66719"/>
    <w:rsid w:val="00C85FB2"/>
    <w:rsid w:val="00CA0B05"/>
    <w:rsid w:val="00CB452F"/>
    <w:rsid w:val="00CF0C5E"/>
    <w:rsid w:val="00CF4140"/>
    <w:rsid w:val="00CF7E07"/>
    <w:rsid w:val="00D1146E"/>
    <w:rsid w:val="00D170C3"/>
    <w:rsid w:val="00D23E87"/>
    <w:rsid w:val="00D31FBD"/>
    <w:rsid w:val="00D32C9E"/>
    <w:rsid w:val="00D34678"/>
    <w:rsid w:val="00D3717A"/>
    <w:rsid w:val="00D500D0"/>
    <w:rsid w:val="00D50CCD"/>
    <w:rsid w:val="00D57EC9"/>
    <w:rsid w:val="00D60E26"/>
    <w:rsid w:val="00D61059"/>
    <w:rsid w:val="00D625BB"/>
    <w:rsid w:val="00D711F4"/>
    <w:rsid w:val="00D85C8C"/>
    <w:rsid w:val="00D86CE5"/>
    <w:rsid w:val="00D921D6"/>
    <w:rsid w:val="00D95323"/>
    <w:rsid w:val="00D95B15"/>
    <w:rsid w:val="00DA2FFE"/>
    <w:rsid w:val="00DA3CE6"/>
    <w:rsid w:val="00DB0C84"/>
    <w:rsid w:val="00DB5739"/>
    <w:rsid w:val="00DC21A8"/>
    <w:rsid w:val="00DD0F1F"/>
    <w:rsid w:val="00DD2487"/>
    <w:rsid w:val="00DE1D53"/>
    <w:rsid w:val="00DE28F6"/>
    <w:rsid w:val="00DE69DB"/>
    <w:rsid w:val="00DF55FA"/>
    <w:rsid w:val="00E03381"/>
    <w:rsid w:val="00E05E25"/>
    <w:rsid w:val="00E06E00"/>
    <w:rsid w:val="00E07698"/>
    <w:rsid w:val="00E17957"/>
    <w:rsid w:val="00E24A9C"/>
    <w:rsid w:val="00E32F97"/>
    <w:rsid w:val="00E33D6C"/>
    <w:rsid w:val="00E43E31"/>
    <w:rsid w:val="00E63041"/>
    <w:rsid w:val="00E7007C"/>
    <w:rsid w:val="00E7244A"/>
    <w:rsid w:val="00E866F7"/>
    <w:rsid w:val="00EB236D"/>
    <w:rsid w:val="00EB5237"/>
    <w:rsid w:val="00EC3808"/>
    <w:rsid w:val="00EC4E18"/>
    <w:rsid w:val="00ED52B1"/>
    <w:rsid w:val="00EE29BA"/>
    <w:rsid w:val="00EE339D"/>
    <w:rsid w:val="00EF3089"/>
    <w:rsid w:val="00EF556D"/>
    <w:rsid w:val="00EF5EFE"/>
    <w:rsid w:val="00F06E52"/>
    <w:rsid w:val="00F3443F"/>
    <w:rsid w:val="00F37401"/>
    <w:rsid w:val="00F475C2"/>
    <w:rsid w:val="00F624C0"/>
    <w:rsid w:val="00F7542E"/>
    <w:rsid w:val="00F8009A"/>
    <w:rsid w:val="00FA341B"/>
    <w:rsid w:val="00FA49E0"/>
    <w:rsid w:val="00FA4ACC"/>
    <w:rsid w:val="00FA7924"/>
    <w:rsid w:val="00FD0E88"/>
    <w:rsid w:val="00FE0842"/>
    <w:rsid w:val="00FE2F24"/>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Housing%20affordability%20FINA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Housing%20affordability%20FINA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private%20rental%20affordability%20FINA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homelessness%20and%20temporary%20acco%20FINA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homelessness%20and%20temporary%20acco%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calculations!$L$370</c:f>
          <c:strCache>
            <c:ptCount val="1"/>
            <c:pt idx="0">
              <c:v>Private Enterprise Housebuilding: Permanent Dwellings Started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calculations!$L$371:$S$371</c:f>
              <c:strCache>
                <c:ptCount val="8"/>
                <c:pt idx="0">
                  <c:v>2009/10</c:v>
                </c:pt>
                <c:pt idx="1">
                  <c:v>2010/11</c:v>
                </c:pt>
                <c:pt idx="2">
                  <c:v>2011/12</c:v>
                </c:pt>
                <c:pt idx="3">
                  <c:v>2012/13</c:v>
                </c:pt>
                <c:pt idx="4">
                  <c:v>2013/14</c:v>
                </c:pt>
                <c:pt idx="5">
                  <c:v>2014/15</c:v>
                </c:pt>
                <c:pt idx="6">
                  <c:v>2015/16</c:v>
                </c:pt>
                <c:pt idx="7">
                  <c:v>2016/17</c:v>
                </c:pt>
              </c:strCache>
            </c:strRef>
          </c:cat>
          <c:val>
            <c:numRef>
              <c:f>calculations!$L$372:$S$372</c:f>
              <c:numCache>
                <c:formatCode>General</c:formatCode>
                <c:ptCount val="8"/>
                <c:pt idx="0">
                  <c:v>3.487619355882829</c:v>
                </c:pt>
                <c:pt idx="1">
                  <c:v>4.2724317725974084</c:v>
                </c:pt>
                <c:pt idx="2">
                  <c:v>4.5694417585572369</c:v>
                </c:pt>
                <c:pt idx="3">
                  <c:v>4.4740469626390338</c:v>
                </c:pt>
                <c:pt idx="4">
                  <c:v>6.1888514144681865</c:v>
                </c:pt>
                <c:pt idx="5">
                  <c:v>6.2390120492260195</c:v>
                </c:pt>
                <c:pt idx="6">
                  <c:v>6.6651215790795124</c:v>
                </c:pt>
                <c:pt idx="7">
                  <c:v>7.5129883925295005</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calculations!$L$371:$S$371</c:f>
              <c:strCache>
                <c:ptCount val="8"/>
                <c:pt idx="0">
                  <c:v>2009/10</c:v>
                </c:pt>
                <c:pt idx="1">
                  <c:v>2010/11</c:v>
                </c:pt>
                <c:pt idx="2">
                  <c:v>2011/12</c:v>
                </c:pt>
                <c:pt idx="3">
                  <c:v>2012/13</c:v>
                </c:pt>
                <c:pt idx="4">
                  <c:v>2013/14</c:v>
                </c:pt>
                <c:pt idx="5">
                  <c:v>2014/15</c:v>
                </c:pt>
                <c:pt idx="6">
                  <c:v>2015/16</c:v>
                </c:pt>
                <c:pt idx="7">
                  <c:v>2016/17</c:v>
                </c:pt>
              </c:strCache>
            </c:strRef>
          </c:cat>
          <c:val>
            <c:numRef>
              <c:f>calculations!$L$373:$S$373</c:f>
              <c:numCache>
                <c:formatCode>General</c:formatCode>
                <c:ptCount val="8"/>
                <c:pt idx="0">
                  <c:v>2.3854167226308354</c:v>
                </c:pt>
                <c:pt idx="1">
                  <c:v>2.7839282911369163</c:v>
                </c:pt>
                <c:pt idx="2">
                  <c:v>3.3993359436761188</c:v>
                </c:pt>
                <c:pt idx="3">
                  <c:v>3.2367505103645309</c:v>
                </c:pt>
                <c:pt idx="4">
                  <c:v>3.9844042227716492</c:v>
                </c:pt>
                <c:pt idx="5">
                  <c:v>4.2504174342210517</c:v>
                </c:pt>
                <c:pt idx="6">
                  <c:v>4.1675497594422861</c:v>
                </c:pt>
                <c:pt idx="7">
                  <c:v>4.6795815339305307</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calculations!$L$371:$S$371</c:f>
              <c:strCache>
                <c:ptCount val="8"/>
                <c:pt idx="0">
                  <c:v>2009/10</c:v>
                </c:pt>
                <c:pt idx="1">
                  <c:v>2010/11</c:v>
                </c:pt>
                <c:pt idx="2">
                  <c:v>2011/12</c:v>
                </c:pt>
                <c:pt idx="3">
                  <c:v>2012/13</c:v>
                </c:pt>
                <c:pt idx="4">
                  <c:v>2013/14</c:v>
                </c:pt>
                <c:pt idx="5">
                  <c:v>2014/15</c:v>
                </c:pt>
                <c:pt idx="6">
                  <c:v>2015/16</c:v>
                </c:pt>
                <c:pt idx="7">
                  <c:v>2016/17</c:v>
                </c:pt>
              </c:strCache>
            </c:strRef>
          </c:cat>
          <c:val>
            <c:numRef>
              <c:f>calculations!$L$374:$S$374</c:f>
              <c:numCache>
                <c:formatCode>General</c:formatCode>
                <c:ptCount val="8"/>
                <c:pt idx="0">
                  <c:v>1.5761493293829119</c:v>
                </c:pt>
                <c:pt idx="1">
                  <c:v>1.9734519900311258</c:v>
                </c:pt>
                <c:pt idx="2">
                  <c:v>4.1433571822620108</c:v>
                </c:pt>
                <c:pt idx="3">
                  <c:v>3.9626795704789362</c:v>
                </c:pt>
                <c:pt idx="4">
                  <c:v>5.0894247111790873</c:v>
                </c:pt>
                <c:pt idx="5">
                  <c:v>5.4375639046649242</c:v>
                </c:pt>
                <c:pt idx="6">
                  <c:v>5.7755690330312968</c:v>
                </c:pt>
                <c:pt idx="7">
                  <c:v>6.4326820750720666</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calculations!$L$371:$S$371</c:f>
              <c:strCache>
                <c:ptCount val="8"/>
                <c:pt idx="0">
                  <c:v>2009/10</c:v>
                </c:pt>
                <c:pt idx="1">
                  <c:v>2010/11</c:v>
                </c:pt>
                <c:pt idx="2">
                  <c:v>2011/12</c:v>
                </c:pt>
                <c:pt idx="3">
                  <c:v>2012/13</c:v>
                </c:pt>
                <c:pt idx="4">
                  <c:v>2013/14</c:v>
                </c:pt>
                <c:pt idx="5">
                  <c:v>2014/15</c:v>
                </c:pt>
                <c:pt idx="6">
                  <c:v>2015/16</c:v>
                </c:pt>
                <c:pt idx="7">
                  <c:v>2016/17</c:v>
                </c:pt>
              </c:strCache>
            </c:strRef>
          </c:cat>
          <c:val>
            <c:numRef>
              <c:f>calculations!$L$375:$S$375</c:f>
              <c:numCache>
                <c:formatCode>General</c:formatCode>
                <c:ptCount val="8"/>
                <c:pt idx="0">
                  <c:v>2.6911770794518279</c:v>
                </c:pt>
                <c:pt idx="1">
                  <c:v>#N/A</c:v>
                </c:pt>
                <c:pt idx="2">
                  <c:v>4.0836327997386492</c:v>
                </c:pt>
                <c:pt idx="3">
                  <c:v>4.3057925095458609</c:v>
                </c:pt>
                <c:pt idx="4">
                  <c:v>3.8803556992724331</c:v>
                </c:pt>
                <c:pt idx="5">
                  <c:v>2.6927095892613138</c:v>
                </c:pt>
                <c:pt idx="6">
                  <c:v>3.8748851515998872</c:v>
                </c:pt>
                <c:pt idx="7">
                  <c:v>3.4754124555586623</c:v>
                </c:pt>
              </c:numCache>
            </c:numRef>
          </c:val>
        </c:ser>
        <c:marker val="1"/>
        <c:axId val="136231552"/>
        <c:axId val="137920896"/>
      </c:lineChart>
      <c:catAx>
        <c:axId val="136231552"/>
        <c:scaling>
          <c:orientation val="minMax"/>
        </c:scaling>
        <c:axPos val="b"/>
        <c:tickLblPos val="nextTo"/>
        <c:txPr>
          <a:bodyPr/>
          <a:lstStyle/>
          <a:p>
            <a:pPr>
              <a:defRPr sz="1000"/>
            </a:pPr>
            <a:endParaRPr lang="en-US"/>
          </a:p>
        </c:txPr>
        <c:crossAx val="137920896"/>
        <c:crosses val="autoZero"/>
        <c:auto val="1"/>
        <c:lblAlgn val="ctr"/>
        <c:lblOffset val="100"/>
      </c:catAx>
      <c:valAx>
        <c:axId val="137920896"/>
        <c:scaling>
          <c:orientation val="minMax"/>
        </c:scaling>
        <c:axPos val="l"/>
        <c:majorGridlines/>
        <c:numFmt formatCode="General" sourceLinked="1"/>
        <c:tickLblPos val="nextTo"/>
        <c:crossAx val="13623155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calculations!$O$370</c:f>
          <c:strCache>
            <c:ptCount val="1"/>
            <c:pt idx="0">
              <c:v>Housing supply: Net conversations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calculations!$O$371:$S$371</c:f>
              <c:strCache>
                <c:ptCount val="5"/>
                <c:pt idx="0">
                  <c:v>2012/13</c:v>
                </c:pt>
                <c:pt idx="1">
                  <c:v>2013/14</c:v>
                </c:pt>
                <c:pt idx="2">
                  <c:v>2014/15</c:v>
                </c:pt>
                <c:pt idx="3">
                  <c:v>2015/16</c:v>
                </c:pt>
                <c:pt idx="4">
                  <c:v>2016/17</c:v>
                </c:pt>
              </c:strCache>
            </c:strRef>
          </c:cat>
          <c:val>
            <c:numRef>
              <c:f>calculations!$O$372:$S$372</c:f>
              <c:numCache>
                <c:formatCode>General</c:formatCode>
                <c:ptCount val="5"/>
                <c:pt idx="0">
                  <c:v>0.13357443186009374</c:v>
                </c:pt>
                <c:pt idx="1">
                  <c:v>0.10298824349589632</c:v>
                </c:pt>
                <c:pt idx="2">
                  <c:v>0.13962772495304773</c:v>
                </c:pt>
                <c:pt idx="3">
                  <c:v>0.15982473853062593</c:v>
                </c:pt>
                <c:pt idx="4">
                  <c:v>0.1664831875156923</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calculations!$O$371:$S$371</c:f>
              <c:strCache>
                <c:ptCount val="5"/>
                <c:pt idx="0">
                  <c:v>2012/13</c:v>
                </c:pt>
                <c:pt idx="1">
                  <c:v>2013/14</c:v>
                </c:pt>
                <c:pt idx="2">
                  <c:v>2014/15</c:v>
                </c:pt>
                <c:pt idx="3">
                  <c:v>2015/16</c:v>
                </c:pt>
                <c:pt idx="4">
                  <c:v>2016/17</c:v>
                </c:pt>
              </c:strCache>
            </c:strRef>
          </c:cat>
          <c:val>
            <c:numRef>
              <c:f>calculations!$O$373:$S$373</c:f>
              <c:numCache>
                <c:formatCode>General</c:formatCode>
                <c:ptCount val="5"/>
                <c:pt idx="0">
                  <c:v>0.21125441275923507</c:v>
                </c:pt>
                <c:pt idx="1">
                  <c:v>0.23519409842706451</c:v>
                </c:pt>
                <c:pt idx="2">
                  <c:v>0.23994514788181026</c:v>
                </c:pt>
                <c:pt idx="3">
                  <c:v>0.22463413694454476</c:v>
                </c:pt>
                <c:pt idx="4">
                  <c:v>0.27196016781679372</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calculations!$O$371:$S$371</c:f>
              <c:strCache>
                <c:ptCount val="5"/>
                <c:pt idx="0">
                  <c:v>2012/13</c:v>
                </c:pt>
                <c:pt idx="1">
                  <c:v>2013/14</c:v>
                </c:pt>
                <c:pt idx="2">
                  <c:v>2014/15</c:v>
                </c:pt>
                <c:pt idx="3">
                  <c:v>2015/16</c:v>
                </c:pt>
                <c:pt idx="4">
                  <c:v>2016/17</c:v>
                </c:pt>
              </c:strCache>
            </c:strRef>
          </c:cat>
          <c:val>
            <c:numRef>
              <c:f>calculations!$O$374:$S$374</c:f>
              <c:numCache>
                <c:formatCode>General</c:formatCode>
                <c:ptCount val="5"/>
                <c:pt idx="0">
                  <c:v>0.14030865778824661</c:v>
                </c:pt>
                <c:pt idx="1">
                  <c:v>0.13529554148340991</c:v>
                </c:pt>
                <c:pt idx="2">
                  <c:v>0.1617691239466624</c:v>
                </c:pt>
                <c:pt idx="3">
                  <c:v>0.20637102800913451</c:v>
                </c:pt>
                <c:pt idx="4">
                  <c:v>0.1923812082201122</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calculations!$O$371:$S$371</c:f>
              <c:strCache>
                <c:ptCount val="5"/>
                <c:pt idx="0">
                  <c:v>2012/13</c:v>
                </c:pt>
                <c:pt idx="1">
                  <c:v>2013/14</c:v>
                </c:pt>
                <c:pt idx="2">
                  <c:v>2014/15</c:v>
                </c:pt>
                <c:pt idx="3">
                  <c:v>2015/16</c:v>
                </c:pt>
                <c:pt idx="4">
                  <c:v>2016/17</c:v>
                </c:pt>
              </c:strCache>
            </c:strRef>
          </c:cat>
          <c:val>
            <c:numRef>
              <c:f>calculations!$O$375:$S$375</c:f>
              <c:numCache>
                <c:formatCode>General</c:formatCode>
                <c:ptCount val="5"/>
                <c:pt idx="0">
                  <c:v>0.49003593596863765</c:v>
                </c:pt>
                <c:pt idx="1">
                  <c:v>0.365586156470875</c:v>
                </c:pt>
                <c:pt idx="2">
                  <c:v>0.24252223120452707</c:v>
                </c:pt>
                <c:pt idx="3">
                  <c:v>0.72341451651796485</c:v>
                </c:pt>
                <c:pt idx="4">
                  <c:v>0.25166779850597215</c:v>
                </c:pt>
              </c:numCache>
            </c:numRef>
          </c:val>
        </c:ser>
        <c:marker val="1"/>
        <c:axId val="163724288"/>
        <c:axId val="163734272"/>
      </c:lineChart>
      <c:catAx>
        <c:axId val="163724288"/>
        <c:scaling>
          <c:orientation val="minMax"/>
        </c:scaling>
        <c:axPos val="b"/>
        <c:tickLblPos val="nextTo"/>
        <c:crossAx val="163734272"/>
        <c:crosses val="autoZero"/>
        <c:auto val="1"/>
        <c:lblAlgn val="ctr"/>
        <c:lblOffset val="100"/>
      </c:catAx>
      <c:valAx>
        <c:axId val="163734272"/>
        <c:scaling>
          <c:orientation val="minMax"/>
        </c:scaling>
        <c:axPos val="l"/>
        <c:majorGridlines/>
        <c:numFmt formatCode="General" sourceLinked="1"/>
        <c:tickLblPos val="nextTo"/>
        <c:crossAx val="16372428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calculations!$U$370</c:f>
          <c:strCache>
            <c:ptCount val="1"/>
            <c:pt idx="0">
              <c:v>Housing supply: Net change of use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calculations!$U$371:$Y$371</c:f>
              <c:strCache>
                <c:ptCount val="5"/>
                <c:pt idx="0">
                  <c:v>2012/13</c:v>
                </c:pt>
                <c:pt idx="1">
                  <c:v>2013/14</c:v>
                </c:pt>
                <c:pt idx="2">
                  <c:v>2014/15</c:v>
                </c:pt>
                <c:pt idx="3">
                  <c:v>2015/16</c:v>
                </c:pt>
                <c:pt idx="4">
                  <c:v>2016/17</c:v>
                </c:pt>
              </c:strCache>
            </c:strRef>
          </c:cat>
          <c:val>
            <c:numRef>
              <c:f>calculations!$U$372:$Y$372</c:f>
              <c:numCache>
                <c:formatCode>General</c:formatCode>
                <c:ptCount val="5"/>
                <c:pt idx="0">
                  <c:v>0.69977053108795373</c:v>
                </c:pt>
                <c:pt idx="1">
                  <c:v>0.55455208036251857</c:v>
                </c:pt>
                <c:pt idx="2">
                  <c:v>0.85743222647223671</c:v>
                </c:pt>
                <c:pt idx="3">
                  <c:v>1.0213190608542437</c:v>
                </c:pt>
                <c:pt idx="4">
                  <c:v>1.0607026285802577</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calculations!$U$371:$Y$371</c:f>
              <c:strCache>
                <c:ptCount val="5"/>
                <c:pt idx="0">
                  <c:v>2012/13</c:v>
                </c:pt>
                <c:pt idx="1">
                  <c:v>2013/14</c:v>
                </c:pt>
                <c:pt idx="2">
                  <c:v>2014/15</c:v>
                </c:pt>
                <c:pt idx="3">
                  <c:v>2015/16</c:v>
                </c:pt>
                <c:pt idx="4">
                  <c:v>2016/17</c:v>
                </c:pt>
              </c:strCache>
            </c:strRef>
          </c:cat>
          <c:val>
            <c:numRef>
              <c:f>calculations!$U$373:$Y$373</c:f>
              <c:numCache>
                <c:formatCode>General</c:formatCode>
                <c:ptCount val="5"/>
                <c:pt idx="0">
                  <c:v>0.51219230263323978</c:v>
                </c:pt>
                <c:pt idx="1">
                  <c:v>0.53368405903705007</c:v>
                </c:pt>
                <c:pt idx="2">
                  <c:v>0.90456033831608462</c:v>
                </c:pt>
                <c:pt idx="3">
                  <c:v>1.3837201633299137</c:v>
                </c:pt>
                <c:pt idx="4">
                  <c:v>1.7465468641942661</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calculations!$U$371:$Y$371</c:f>
              <c:strCache>
                <c:ptCount val="5"/>
                <c:pt idx="0">
                  <c:v>2012/13</c:v>
                </c:pt>
                <c:pt idx="1">
                  <c:v>2013/14</c:v>
                </c:pt>
                <c:pt idx="2">
                  <c:v>2014/15</c:v>
                </c:pt>
                <c:pt idx="3">
                  <c:v>2015/16</c:v>
                </c:pt>
                <c:pt idx="4">
                  <c:v>2016/17</c:v>
                </c:pt>
              </c:strCache>
            </c:strRef>
          </c:cat>
          <c:val>
            <c:numRef>
              <c:f>calculations!$U$374:$Y$374</c:f>
              <c:numCache>
                <c:formatCode>General</c:formatCode>
                <c:ptCount val="5"/>
                <c:pt idx="0">
                  <c:v>0.55379402051270066</c:v>
                </c:pt>
                <c:pt idx="1">
                  <c:v>0.54541015160499617</c:v>
                </c:pt>
                <c:pt idx="2">
                  <c:v>0.88237703970906767</c:v>
                </c:pt>
                <c:pt idx="3">
                  <c:v>1.2048732746391895</c:v>
                </c:pt>
                <c:pt idx="4">
                  <c:v>1.4258113176356331</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calculations!$U$371:$Y$371</c:f>
              <c:strCache>
                <c:ptCount val="5"/>
                <c:pt idx="0">
                  <c:v>2012/13</c:v>
                </c:pt>
                <c:pt idx="1">
                  <c:v>2013/14</c:v>
                </c:pt>
                <c:pt idx="2">
                  <c:v>2014/15</c:v>
                </c:pt>
                <c:pt idx="3">
                  <c:v>2015/16</c:v>
                </c:pt>
                <c:pt idx="4">
                  <c:v>2016/17</c:v>
                </c:pt>
              </c:strCache>
            </c:strRef>
          </c:cat>
          <c:val>
            <c:numRef>
              <c:f>calculations!$U$375:$Y$375</c:f>
              <c:numCache>
                <c:formatCode>General</c:formatCode>
                <c:ptCount val="5"/>
                <c:pt idx="0">
                  <c:v>1.1842535119242077</c:v>
                </c:pt>
                <c:pt idx="1">
                  <c:v>0.60931026078479156</c:v>
                </c:pt>
                <c:pt idx="2">
                  <c:v>0.80840743734842357</c:v>
                </c:pt>
                <c:pt idx="3">
                  <c:v>1.1253114701390563</c:v>
                </c:pt>
                <c:pt idx="4">
                  <c:v>1.2743179003715097</c:v>
                </c:pt>
              </c:numCache>
            </c:numRef>
          </c:val>
        </c:ser>
        <c:marker val="1"/>
        <c:axId val="163781248"/>
        <c:axId val="163795328"/>
      </c:lineChart>
      <c:catAx>
        <c:axId val="163781248"/>
        <c:scaling>
          <c:orientation val="minMax"/>
        </c:scaling>
        <c:axPos val="b"/>
        <c:tickLblPos val="nextTo"/>
        <c:crossAx val="163795328"/>
        <c:crosses val="autoZero"/>
        <c:auto val="1"/>
        <c:lblAlgn val="ctr"/>
        <c:lblOffset val="100"/>
      </c:catAx>
      <c:valAx>
        <c:axId val="163795328"/>
        <c:scaling>
          <c:orientation val="minMax"/>
        </c:scaling>
        <c:axPos val="l"/>
        <c:majorGridlines/>
        <c:numFmt formatCode="General" sourceLinked="1"/>
        <c:tickLblPos val="nextTo"/>
        <c:crossAx val="16378124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calculations!$AA$370</c:f>
          <c:strCache>
            <c:ptCount val="1"/>
            <c:pt idx="0">
              <c:v>Housing supply: Net other gains and losses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calculations!$AA$371:$AE$371</c:f>
              <c:strCache>
                <c:ptCount val="5"/>
                <c:pt idx="0">
                  <c:v>2012/13</c:v>
                </c:pt>
                <c:pt idx="1">
                  <c:v>2013/14</c:v>
                </c:pt>
                <c:pt idx="2">
                  <c:v>2014/15</c:v>
                </c:pt>
                <c:pt idx="3">
                  <c:v>2015/16</c:v>
                </c:pt>
                <c:pt idx="4">
                  <c:v>2016/17</c:v>
                </c:pt>
              </c:strCache>
            </c:strRef>
          </c:cat>
          <c:val>
            <c:numRef>
              <c:f>calculations!$AA$372:$AE$372</c:f>
              <c:numCache>
                <c:formatCode>General</c:formatCode>
                <c:ptCount val="5"/>
                <c:pt idx="0">
                  <c:v>0.24123143664285587</c:v>
                </c:pt>
                <c:pt idx="1">
                  <c:v>0.18022942611781856</c:v>
                </c:pt>
                <c:pt idx="2">
                  <c:v>2.7532227455530536E-2</c:v>
                </c:pt>
                <c:pt idx="3">
                  <c:v>0.10914860192335429</c:v>
                </c:pt>
                <c:pt idx="4">
                  <c:v>0.10603163566834695</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calculations!$AA$371:$AE$371</c:f>
              <c:strCache>
                <c:ptCount val="5"/>
                <c:pt idx="0">
                  <c:v>2012/13</c:v>
                </c:pt>
                <c:pt idx="1">
                  <c:v>2013/14</c:v>
                </c:pt>
                <c:pt idx="2">
                  <c:v>2014/15</c:v>
                </c:pt>
                <c:pt idx="3">
                  <c:v>2015/16</c:v>
                </c:pt>
                <c:pt idx="4">
                  <c:v>2016/17</c:v>
                </c:pt>
              </c:strCache>
            </c:strRef>
          </c:cat>
          <c:val>
            <c:numRef>
              <c:f>calculations!$AA$373:$AE$373</c:f>
              <c:numCache>
                <c:formatCode>General</c:formatCode>
                <c:ptCount val="5"/>
                <c:pt idx="0">
                  <c:v>3.9859323162119821E-3</c:v>
                </c:pt>
                <c:pt idx="1">
                  <c:v>2.1320711472141825E-2</c:v>
                </c:pt>
                <c:pt idx="2">
                  <c:v>2.6295358671979206E-2</c:v>
                </c:pt>
                <c:pt idx="3">
                  <c:v>3.2650310602404761E-3</c:v>
                </c:pt>
                <c:pt idx="4">
                  <c:v>2.9814508387923052E-3</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calculations!$AA$371:$AE$371</c:f>
              <c:strCache>
                <c:ptCount val="5"/>
                <c:pt idx="0">
                  <c:v>2012/13</c:v>
                </c:pt>
                <c:pt idx="1">
                  <c:v>2013/14</c:v>
                </c:pt>
                <c:pt idx="2">
                  <c:v>2014/15</c:v>
                </c:pt>
                <c:pt idx="3">
                  <c:v>2015/16</c:v>
                </c:pt>
                <c:pt idx="4">
                  <c:v>2016/17</c:v>
                </c:pt>
              </c:strCache>
            </c:strRef>
          </c:cat>
          <c:val>
            <c:numRef>
              <c:f>calculations!$AA$374:$AE$374</c:f>
              <c:numCache>
                <c:formatCode>General</c:formatCode>
                <c:ptCount val="5"/>
                <c:pt idx="0">
                  <c:v>3.1888331315510596E-2</c:v>
                </c:pt>
                <c:pt idx="1">
                  <c:v>6.34197850703484E-2</c:v>
                </c:pt>
                <c:pt idx="2">
                  <c:v>5.1471993983028951E-2</c:v>
                </c:pt>
                <c:pt idx="3">
                  <c:v>6.045211931580708E-2</c:v>
                </c:pt>
                <c:pt idx="4">
                  <c:v>7.2943680452953394E-2</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calculations!$AA$371:$AE$371</c:f>
              <c:strCache>
                <c:ptCount val="5"/>
                <c:pt idx="0">
                  <c:v>2012/13</c:v>
                </c:pt>
                <c:pt idx="1">
                  <c:v>2013/14</c:v>
                </c:pt>
                <c:pt idx="2">
                  <c:v>2014/15</c:v>
                </c:pt>
                <c:pt idx="3">
                  <c:v>2015/16</c:v>
                </c:pt>
                <c:pt idx="4">
                  <c:v>2016/17</c:v>
                </c:pt>
              </c:strCache>
            </c:strRef>
          </c:cat>
          <c:val>
            <c:numRef>
              <c:f>calculations!$AA$375:$AE$375</c:f>
              <c:numCache>
                <c:formatCode>General</c:formatCode>
                <c:ptCount val="5"/>
                <c:pt idx="0">
                  <c:v>0</c:v>
                </c:pt>
                <c:pt idx="1">
                  <c:v>0</c:v>
                </c:pt>
                <c:pt idx="2">
                  <c:v>0</c:v>
                </c:pt>
                <c:pt idx="3">
                  <c:v>0</c:v>
                </c:pt>
                <c:pt idx="4">
                  <c:v>0</c:v>
                </c:pt>
              </c:numCache>
            </c:numRef>
          </c:val>
        </c:ser>
        <c:marker val="1"/>
        <c:axId val="163817728"/>
        <c:axId val="163844096"/>
      </c:lineChart>
      <c:catAx>
        <c:axId val="163817728"/>
        <c:scaling>
          <c:orientation val="minMax"/>
        </c:scaling>
        <c:axPos val="b"/>
        <c:tickLblPos val="nextTo"/>
        <c:crossAx val="163844096"/>
        <c:crosses val="autoZero"/>
        <c:auto val="1"/>
        <c:lblAlgn val="ctr"/>
        <c:lblOffset val="100"/>
      </c:catAx>
      <c:valAx>
        <c:axId val="163844096"/>
        <c:scaling>
          <c:orientation val="minMax"/>
        </c:scaling>
        <c:axPos val="l"/>
        <c:majorGridlines/>
        <c:numFmt formatCode="General" sourceLinked="1"/>
        <c:tickLblPos val="nextTo"/>
        <c:crossAx val="16381772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calculations!$AG$370</c:f>
          <c:strCache>
            <c:ptCount val="1"/>
            <c:pt idx="0">
              <c:v>Housing supply: Demolitions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calculations!$AG$371:$AK$371</c:f>
              <c:strCache>
                <c:ptCount val="5"/>
                <c:pt idx="0">
                  <c:v>2012/13</c:v>
                </c:pt>
                <c:pt idx="1">
                  <c:v>2013/14</c:v>
                </c:pt>
                <c:pt idx="2">
                  <c:v>2014/15</c:v>
                </c:pt>
                <c:pt idx="3">
                  <c:v>2015/16</c:v>
                </c:pt>
                <c:pt idx="4">
                  <c:v>2016/17</c:v>
                </c:pt>
              </c:strCache>
            </c:strRef>
          </c:cat>
          <c:val>
            <c:numRef>
              <c:f>calculations!$AG$372:$AK$372</c:f>
              <c:numCache>
                <c:formatCode>General</c:formatCode>
                <c:ptCount val="5"/>
                <c:pt idx="0">
                  <c:v>0.27711710490377656</c:v>
                </c:pt>
                <c:pt idx="1">
                  <c:v>0.34065342079411859</c:v>
                </c:pt>
                <c:pt idx="2">
                  <c:v>0.25368981012595992</c:v>
                </c:pt>
                <c:pt idx="3">
                  <c:v>0.29626049093481882</c:v>
                </c:pt>
                <c:pt idx="4">
                  <c:v>0.28931765069432375</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calculations!$AG$371:$AK$371</c:f>
              <c:strCache>
                <c:ptCount val="5"/>
                <c:pt idx="0">
                  <c:v>2012/13</c:v>
                </c:pt>
                <c:pt idx="1">
                  <c:v>2013/14</c:v>
                </c:pt>
                <c:pt idx="2">
                  <c:v>2014/15</c:v>
                </c:pt>
                <c:pt idx="3">
                  <c:v>2015/16</c:v>
                </c:pt>
                <c:pt idx="4">
                  <c:v>2016/17</c:v>
                </c:pt>
              </c:strCache>
            </c:strRef>
          </c:cat>
          <c:val>
            <c:numRef>
              <c:f>calculations!$AG$373:$AK$373</c:f>
              <c:numCache>
                <c:formatCode>General</c:formatCode>
                <c:ptCount val="5"/>
                <c:pt idx="0">
                  <c:v>0.62579137364528126</c:v>
                </c:pt>
                <c:pt idx="1">
                  <c:v>0.58898465441791792</c:v>
                </c:pt>
                <c:pt idx="2">
                  <c:v>0.53511054897477683</c:v>
                </c:pt>
                <c:pt idx="3">
                  <c:v>0.50477380191317756</c:v>
                </c:pt>
                <c:pt idx="4">
                  <c:v>0.45687493397058604</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calculations!$AG$371:$AK$371</c:f>
              <c:strCache>
                <c:ptCount val="5"/>
                <c:pt idx="0">
                  <c:v>2012/13</c:v>
                </c:pt>
                <c:pt idx="1">
                  <c:v>2013/14</c:v>
                </c:pt>
                <c:pt idx="2">
                  <c:v>2014/15</c:v>
                </c:pt>
                <c:pt idx="3">
                  <c:v>2015/16</c:v>
                </c:pt>
                <c:pt idx="4">
                  <c:v>2016/17</c:v>
                </c:pt>
              </c:strCache>
            </c:strRef>
          </c:cat>
          <c:val>
            <c:numRef>
              <c:f>calculations!$AG$374:$AK$374</c:f>
              <c:numCache>
                <c:formatCode>General</c:formatCode>
                <c:ptCount val="5"/>
                <c:pt idx="0">
                  <c:v>0.34970870009343286</c:v>
                </c:pt>
                <c:pt idx="1">
                  <c:v>0.41011461012158629</c:v>
                </c:pt>
                <c:pt idx="2">
                  <c:v>0.3455976738860515</c:v>
                </c:pt>
                <c:pt idx="3">
                  <c:v>0.32519071080227258</c:v>
                </c:pt>
                <c:pt idx="4">
                  <c:v>0.33547893828716668</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calculations!$AG$371:$AK$371</c:f>
              <c:strCache>
                <c:ptCount val="5"/>
                <c:pt idx="0">
                  <c:v>2012/13</c:v>
                </c:pt>
                <c:pt idx="1">
                  <c:v>2013/14</c:v>
                </c:pt>
                <c:pt idx="2">
                  <c:v>2014/15</c:v>
                </c:pt>
                <c:pt idx="3">
                  <c:v>2015/16</c:v>
                </c:pt>
                <c:pt idx="4">
                  <c:v>2016/17</c:v>
                </c:pt>
              </c:strCache>
            </c:strRef>
          </c:cat>
          <c:val>
            <c:numRef>
              <c:f>calculations!$AG$375:$AK$375</c:f>
              <c:numCache>
                <c:formatCode>General</c:formatCode>
                <c:ptCount val="5"/>
                <c:pt idx="0">
                  <c:v>0</c:v>
                </c:pt>
                <c:pt idx="1">
                  <c:v>0</c:v>
                </c:pt>
                <c:pt idx="2">
                  <c:v>4.0420371867421187E-2</c:v>
                </c:pt>
                <c:pt idx="3">
                  <c:v>0.24113817217265493</c:v>
                </c:pt>
                <c:pt idx="4">
                  <c:v>0.11185235489154317</c:v>
                </c:pt>
              </c:numCache>
            </c:numRef>
          </c:val>
        </c:ser>
        <c:marker val="1"/>
        <c:axId val="163854208"/>
        <c:axId val="163855744"/>
      </c:lineChart>
      <c:catAx>
        <c:axId val="163854208"/>
        <c:scaling>
          <c:orientation val="minMax"/>
        </c:scaling>
        <c:axPos val="b"/>
        <c:tickLblPos val="nextTo"/>
        <c:crossAx val="163855744"/>
        <c:crosses val="autoZero"/>
        <c:auto val="1"/>
        <c:lblAlgn val="ctr"/>
        <c:lblOffset val="100"/>
      </c:catAx>
      <c:valAx>
        <c:axId val="163855744"/>
        <c:scaling>
          <c:orientation val="minMax"/>
        </c:scaling>
        <c:axPos val="l"/>
        <c:majorGridlines/>
        <c:numFmt formatCode="General" sourceLinked="1"/>
        <c:tickLblPos val="nextTo"/>
        <c:crossAx val="16385420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calculations!$AM$370</c:f>
          <c:strCache>
            <c:ptCount val="1"/>
            <c:pt idx="0">
              <c:v>Housing supply: Net additions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calculations!$AM$371:$AQ$371</c:f>
              <c:strCache>
                <c:ptCount val="5"/>
                <c:pt idx="0">
                  <c:v>2012/13</c:v>
                </c:pt>
                <c:pt idx="1">
                  <c:v>2013/14</c:v>
                </c:pt>
                <c:pt idx="2">
                  <c:v>2014/15</c:v>
                </c:pt>
                <c:pt idx="3">
                  <c:v>2015/16</c:v>
                </c:pt>
                <c:pt idx="4">
                  <c:v>2016/17</c:v>
                </c:pt>
              </c:strCache>
            </c:strRef>
          </c:cat>
          <c:val>
            <c:numRef>
              <c:f>calculations!$AM$372:$AQ$372</c:f>
              <c:numCache>
                <c:formatCode>General</c:formatCode>
                <c:ptCount val="5"/>
                <c:pt idx="0">
                  <c:v>6.6348613317968947</c:v>
                </c:pt>
                <c:pt idx="1">
                  <c:v>7.1061888012168462</c:v>
                </c:pt>
                <c:pt idx="2">
                  <c:v>8.9873056765553248</c:v>
                </c:pt>
                <c:pt idx="3">
                  <c:v>9.1938206298653959</c:v>
                </c:pt>
                <c:pt idx="4">
                  <c:v>10.260733530332001</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calculations!$AM$371:$AQ$371</c:f>
              <c:strCache>
                <c:ptCount val="5"/>
                <c:pt idx="0">
                  <c:v>2012/13</c:v>
                </c:pt>
                <c:pt idx="1">
                  <c:v>2013/14</c:v>
                </c:pt>
                <c:pt idx="2">
                  <c:v>2014/15</c:v>
                </c:pt>
                <c:pt idx="3">
                  <c:v>2015/16</c:v>
                </c:pt>
                <c:pt idx="4">
                  <c:v>2016/17</c:v>
                </c:pt>
              </c:strCache>
            </c:strRef>
          </c:cat>
          <c:val>
            <c:numRef>
              <c:f>calculations!$AM$373:$AQ$373</c:f>
              <c:numCache>
                <c:formatCode>General</c:formatCode>
                <c:ptCount val="5"/>
                <c:pt idx="0">
                  <c:v>5.0322395492176275</c:v>
                </c:pt>
                <c:pt idx="1">
                  <c:v>5.5413861660563617</c:v>
                </c:pt>
                <c:pt idx="2">
                  <c:v>6.7053164613546974</c:v>
                </c:pt>
                <c:pt idx="3">
                  <c:v>7.5193665317338167</c:v>
                </c:pt>
                <c:pt idx="4">
                  <c:v>8.6345408857371932</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calculations!$AM$371:$AQ$371</c:f>
              <c:strCache>
                <c:ptCount val="5"/>
                <c:pt idx="0">
                  <c:v>2012/13</c:v>
                </c:pt>
                <c:pt idx="1">
                  <c:v>2013/14</c:v>
                </c:pt>
                <c:pt idx="2">
                  <c:v>2014/15</c:v>
                </c:pt>
                <c:pt idx="3">
                  <c:v>2015/16</c:v>
                </c:pt>
                <c:pt idx="4">
                  <c:v>2016/17</c:v>
                </c:pt>
              </c:strCache>
            </c:strRef>
          </c:cat>
          <c:val>
            <c:numRef>
              <c:f>calculations!$AM$374:$AQ$374</c:f>
              <c:numCache>
                <c:formatCode>General</c:formatCode>
                <c:ptCount val="5"/>
                <c:pt idx="0">
                  <c:v>5.6325422546963546</c:v>
                </c:pt>
                <c:pt idx="1">
                  <c:v>6.2352218688330865</c:v>
                </c:pt>
                <c:pt idx="2">
                  <c:v>7.8394998182723477</c:v>
                </c:pt>
                <c:pt idx="3">
                  <c:v>8.7895296929345026</c:v>
                </c:pt>
                <c:pt idx="4">
                  <c:v>9.4783390331346151</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calculations!$AM$371:$AQ$371</c:f>
              <c:strCache>
                <c:ptCount val="5"/>
                <c:pt idx="0">
                  <c:v>2012/13</c:v>
                </c:pt>
                <c:pt idx="1">
                  <c:v>2013/14</c:v>
                </c:pt>
                <c:pt idx="2">
                  <c:v>2014/15</c:v>
                </c:pt>
                <c:pt idx="3">
                  <c:v>2015/16</c:v>
                </c:pt>
                <c:pt idx="4">
                  <c:v>2016/17</c:v>
                </c:pt>
              </c:strCache>
            </c:strRef>
          </c:cat>
          <c:val>
            <c:numRef>
              <c:f>calculations!$AM$375:$AQ$375</c:f>
              <c:numCache>
                <c:formatCode>General</c:formatCode>
                <c:ptCount val="5"/>
                <c:pt idx="0">
                  <c:v>5.3087226396602416</c:v>
                </c:pt>
                <c:pt idx="1">
                  <c:v>4.955723454382972</c:v>
                </c:pt>
                <c:pt idx="2">
                  <c:v>5.7396928051738074</c:v>
                </c:pt>
                <c:pt idx="3">
                  <c:v>6.0686439996784829</c:v>
                </c:pt>
                <c:pt idx="4">
                  <c:v>5.7723804577957099</c:v>
                </c:pt>
              </c:numCache>
            </c:numRef>
          </c:val>
        </c:ser>
        <c:marker val="1"/>
        <c:axId val="163902976"/>
        <c:axId val="163904512"/>
      </c:lineChart>
      <c:catAx>
        <c:axId val="163902976"/>
        <c:scaling>
          <c:orientation val="minMax"/>
        </c:scaling>
        <c:axPos val="b"/>
        <c:tickLblPos val="nextTo"/>
        <c:crossAx val="163904512"/>
        <c:crosses val="autoZero"/>
        <c:auto val="1"/>
        <c:lblAlgn val="ctr"/>
        <c:lblOffset val="100"/>
      </c:catAx>
      <c:valAx>
        <c:axId val="163904512"/>
        <c:scaling>
          <c:orientation val="minMax"/>
        </c:scaling>
        <c:axPos val="l"/>
        <c:majorGridlines/>
        <c:numFmt formatCode="General" sourceLinked="1"/>
        <c:tickLblPos val="nextTo"/>
        <c:crossAx val="16390297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900">
                <a:latin typeface="Segoe UI" pitchFamily="34" charset="0"/>
                <a:cs typeface="Segoe UI" pitchFamily="34" charset="0"/>
              </a:defRPr>
            </a:pPr>
            <a:r>
              <a:rPr lang="en-GB" sz="900">
                <a:latin typeface="Segoe UI" pitchFamily="34" charset="0"/>
                <a:cs typeface="Segoe UI" pitchFamily="34" charset="0"/>
              </a:rPr>
              <a:t>Lower quartile house price to lower quartile gross annual workplace-based earnings</a:t>
            </a:r>
          </a:p>
        </c:rich>
      </c:tx>
      <c:layout/>
    </c:title>
    <c:plotArea>
      <c:layout/>
      <c:lineChart>
        <c:grouping val="standard"/>
        <c:ser>
          <c:idx val="0"/>
          <c:order val="0"/>
          <c:tx>
            <c:strRef>
              <c:f>'LQ to LQ'!$A$372</c:f>
              <c:strCache>
                <c:ptCount val="1"/>
                <c:pt idx="0">
                  <c:v>Predominantly Rural average</c:v>
                </c:pt>
              </c:strCache>
            </c:strRef>
          </c:tx>
          <c:spPr>
            <a:ln>
              <a:solidFill>
                <a:prstClr val="white">
                  <a:lumMod val="75000"/>
                </a:prstClr>
              </a:solidFill>
            </a:ln>
          </c:spPr>
          <c:marker>
            <c:symbol val="none"/>
          </c:marker>
          <c:cat>
            <c:numRef>
              <c:f>'LQ to LQ'!$F$371:$J$371</c:f>
              <c:numCache>
                <c:formatCode>General</c:formatCode>
                <c:ptCount val="5"/>
                <c:pt idx="0">
                  <c:v>2012</c:v>
                </c:pt>
                <c:pt idx="1">
                  <c:v>2013</c:v>
                </c:pt>
                <c:pt idx="2">
                  <c:v>2014</c:v>
                </c:pt>
                <c:pt idx="3">
                  <c:v>2015</c:v>
                </c:pt>
                <c:pt idx="4">
                  <c:v>2016</c:v>
                </c:pt>
              </c:numCache>
            </c:numRef>
          </c:cat>
          <c:val>
            <c:numRef>
              <c:f>'LQ to LQ'!$F$372:$J$372</c:f>
              <c:numCache>
                <c:formatCode>General</c:formatCode>
                <c:ptCount val="5"/>
                <c:pt idx="0">
                  <c:v>8.0646666666666604</c:v>
                </c:pt>
                <c:pt idx="1">
                  <c:v>8.086333333333334</c:v>
                </c:pt>
                <c:pt idx="2">
                  <c:v>8.4638888888888921</c:v>
                </c:pt>
                <c:pt idx="3">
                  <c:v>8.8035555555555547</c:v>
                </c:pt>
                <c:pt idx="4">
                  <c:v>9.0619999999999976</c:v>
                </c:pt>
              </c:numCache>
            </c:numRef>
          </c:val>
        </c:ser>
        <c:ser>
          <c:idx val="1"/>
          <c:order val="1"/>
          <c:tx>
            <c:strRef>
              <c:f>'LQ to LQ'!$A$373</c:f>
              <c:strCache>
                <c:ptCount val="1"/>
                <c:pt idx="0">
                  <c:v>Predominantly Urban average</c:v>
                </c:pt>
              </c:strCache>
            </c:strRef>
          </c:tx>
          <c:spPr>
            <a:ln>
              <a:prstDash val="sysDash"/>
            </a:ln>
          </c:spPr>
          <c:marker>
            <c:symbol val="none"/>
          </c:marker>
          <c:cat>
            <c:numRef>
              <c:f>'LQ to LQ'!$F$371:$J$371</c:f>
              <c:numCache>
                <c:formatCode>General</c:formatCode>
                <c:ptCount val="5"/>
                <c:pt idx="0">
                  <c:v>2012</c:v>
                </c:pt>
                <c:pt idx="1">
                  <c:v>2013</c:v>
                </c:pt>
                <c:pt idx="2">
                  <c:v>2014</c:v>
                </c:pt>
                <c:pt idx="3">
                  <c:v>2015</c:v>
                </c:pt>
                <c:pt idx="4">
                  <c:v>2016</c:v>
                </c:pt>
              </c:numCache>
            </c:numRef>
          </c:cat>
          <c:val>
            <c:numRef>
              <c:f>'LQ to LQ'!$F$373:$J$373</c:f>
              <c:numCache>
                <c:formatCode>General</c:formatCode>
                <c:ptCount val="5"/>
                <c:pt idx="0">
                  <c:v>7.4142541436464127</c:v>
                </c:pt>
                <c:pt idx="1">
                  <c:v>7.6118232044198884</c:v>
                </c:pt>
                <c:pt idx="2">
                  <c:v>8.1578453038674024</c:v>
                </c:pt>
                <c:pt idx="3">
                  <c:v>8.7774033149171267</c:v>
                </c:pt>
                <c:pt idx="4">
                  <c:v>9.2539779005524849</c:v>
                </c:pt>
              </c:numCache>
            </c:numRef>
          </c:val>
        </c:ser>
        <c:ser>
          <c:idx val="2"/>
          <c:order val="2"/>
          <c:tx>
            <c:strRef>
              <c:f>'LQ to LQ'!$A$374</c:f>
              <c:strCache>
                <c:ptCount val="1"/>
                <c:pt idx="0">
                  <c:v>East Sussex Shire county average</c:v>
                </c:pt>
              </c:strCache>
            </c:strRef>
          </c:tx>
          <c:spPr>
            <a:ln>
              <a:solidFill>
                <a:schemeClr val="accent1">
                  <a:lumMod val="60000"/>
                  <a:lumOff val="40000"/>
                </a:schemeClr>
              </a:solidFill>
              <a:prstDash val="sysDot"/>
            </a:ln>
          </c:spPr>
          <c:marker>
            <c:symbol val="none"/>
          </c:marker>
          <c:cat>
            <c:numRef>
              <c:f>'LQ to LQ'!$F$371:$J$371</c:f>
              <c:numCache>
                <c:formatCode>General</c:formatCode>
                <c:ptCount val="5"/>
                <c:pt idx="0">
                  <c:v>2012</c:v>
                </c:pt>
                <c:pt idx="1">
                  <c:v>2013</c:v>
                </c:pt>
                <c:pt idx="2">
                  <c:v>2014</c:v>
                </c:pt>
                <c:pt idx="3">
                  <c:v>2015</c:v>
                </c:pt>
                <c:pt idx="4">
                  <c:v>2016</c:v>
                </c:pt>
              </c:numCache>
            </c:numRef>
          </c:cat>
          <c:val>
            <c:numRef>
              <c:f>'LQ to LQ'!$F$374:$J$374</c:f>
              <c:numCache>
                <c:formatCode>General</c:formatCode>
                <c:ptCount val="5"/>
                <c:pt idx="0">
                  <c:v>9.1419999999999995</c:v>
                </c:pt>
                <c:pt idx="1">
                  <c:v>9.1939999999999991</c:v>
                </c:pt>
                <c:pt idx="2">
                  <c:v>9.83</c:v>
                </c:pt>
                <c:pt idx="3">
                  <c:v>9.6240000000000006</c:v>
                </c:pt>
                <c:pt idx="4">
                  <c:v>10.196</c:v>
                </c:pt>
              </c:numCache>
            </c:numRef>
          </c:val>
        </c:ser>
        <c:ser>
          <c:idx val="3"/>
          <c:order val="3"/>
          <c:tx>
            <c:strRef>
              <c:f>'LQ to LQ'!$A$375</c:f>
              <c:strCache>
                <c:ptCount val="1"/>
                <c:pt idx="0">
                  <c:v>England</c:v>
                </c:pt>
              </c:strCache>
            </c:strRef>
          </c:tx>
          <c:spPr>
            <a:ln>
              <a:solidFill>
                <a:schemeClr val="tx1"/>
              </a:solidFill>
            </a:ln>
          </c:spPr>
          <c:marker>
            <c:symbol val="none"/>
          </c:marker>
          <c:cat>
            <c:numRef>
              <c:f>'LQ to LQ'!$F$371:$J$371</c:f>
              <c:numCache>
                <c:formatCode>General</c:formatCode>
                <c:ptCount val="5"/>
                <c:pt idx="0">
                  <c:v>2012</c:v>
                </c:pt>
                <c:pt idx="1">
                  <c:v>2013</c:v>
                </c:pt>
                <c:pt idx="2">
                  <c:v>2014</c:v>
                </c:pt>
                <c:pt idx="3">
                  <c:v>2015</c:v>
                </c:pt>
                <c:pt idx="4">
                  <c:v>2016</c:v>
                </c:pt>
              </c:numCache>
            </c:numRef>
          </c:cat>
          <c:val>
            <c:numRef>
              <c:f>'LQ to LQ'!$F$375:$J$375</c:f>
              <c:numCache>
                <c:formatCode>General</c:formatCode>
                <c:ptCount val="5"/>
                <c:pt idx="0">
                  <c:v>6.58</c:v>
                </c:pt>
                <c:pt idx="1">
                  <c:v>6.57</c:v>
                </c:pt>
                <c:pt idx="2">
                  <c:v>6.91</c:v>
                </c:pt>
                <c:pt idx="3">
                  <c:v>7.11</c:v>
                </c:pt>
                <c:pt idx="4">
                  <c:v>7.16</c:v>
                </c:pt>
              </c:numCache>
            </c:numRef>
          </c:val>
        </c:ser>
        <c:marker val="1"/>
        <c:axId val="163942400"/>
        <c:axId val="163943936"/>
      </c:lineChart>
      <c:catAx>
        <c:axId val="163942400"/>
        <c:scaling>
          <c:orientation val="minMax"/>
        </c:scaling>
        <c:axPos val="b"/>
        <c:numFmt formatCode="General" sourceLinked="1"/>
        <c:tickLblPos val="nextTo"/>
        <c:crossAx val="163943936"/>
        <c:crosses val="autoZero"/>
        <c:auto val="1"/>
        <c:lblAlgn val="ctr"/>
        <c:lblOffset val="100"/>
      </c:catAx>
      <c:valAx>
        <c:axId val="163943936"/>
        <c:scaling>
          <c:orientation val="minMax"/>
        </c:scaling>
        <c:axPos val="l"/>
        <c:majorGridlines/>
        <c:numFmt formatCode="General" sourceLinked="1"/>
        <c:tickLblPos val="nextTo"/>
        <c:crossAx val="163942400"/>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900">
                <a:latin typeface="Segoe UI" pitchFamily="34" charset="0"/>
                <a:cs typeface="Segoe UI" pitchFamily="34" charset="0"/>
              </a:defRPr>
            </a:pPr>
            <a:r>
              <a:rPr lang="en-GB" sz="900">
                <a:latin typeface="Segoe UI" pitchFamily="34" charset="0"/>
                <a:cs typeface="Segoe UI" pitchFamily="34" charset="0"/>
              </a:rPr>
              <a:t>Median house price to median gross</a:t>
            </a:r>
            <a:r>
              <a:rPr lang="en-GB" sz="900" baseline="0">
                <a:latin typeface="Segoe UI" pitchFamily="34" charset="0"/>
                <a:cs typeface="Segoe UI" pitchFamily="34" charset="0"/>
              </a:rPr>
              <a:t> annual workplace-based</a:t>
            </a:r>
            <a:r>
              <a:rPr lang="en-GB" sz="900">
                <a:latin typeface="Segoe UI" pitchFamily="34" charset="0"/>
                <a:cs typeface="Segoe UI" pitchFamily="34" charset="0"/>
              </a:rPr>
              <a:t> earnings</a:t>
            </a:r>
          </a:p>
        </c:rich>
      </c:tx>
      <c:layout/>
    </c:title>
    <c:plotArea>
      <c:layout/>
      <c:lineChart>
        <c:grouping val="standard"/>
        <c:ser>
          <c:idx val="0"/>
          <c:order val="0"/>
          <c:tx>
            <c:strRef>
              <c:f>'Median to Median'!$A$372</c:f>
              <c:strCache>
                <c:ptCount val="1"/>
                <c:pt idx="0">
                  <c:v>Predominantly Rural average</c:v>
                </c:pt>
              </c:strCache>
            </c:strRef>
          </c:tx>
          <c:spPr>
            <a:ln>
              <a:solidFill>
                <a:schemeClr val="bg1">
                  <a:lumMod val="75000"/>
                </a:schemeClr>
              </a:solidFill>
            </a:ln>
          </c:spPr>
          <c:marker>
            <c:symbol val="none"/>
          </c:marker>
          <c:cat>
            <c:numRef>
              <c:f>'Median to Median'!$F$371:$J$371</c:f>
              <c:numCache>
                <c:formatCode>General</c:formatCode>
                <c:ptCount val="5"/>
                <c:pt idx="0">
                  <c:v>2012</c:v>
                </c:pt>
                <c:pt idx="1">
                  <c:v>2013</c:v>
                </c:pt>
                <c:pt idx="2">
                  <c:v>2014</c:v>
                </c:pt>
                <c:pt idx="3">
                  <c:v>2015</c:v>
                </c:pt>
                <c:pt idx="4">
                  <c:v>2016</c:v>
                </c:pt>
              </c:numCache>
            </c:numRef>
          </c:cat>
          <c:val>
            <c:numRef>
              <c:f>'Median to Median'!$F$372:$J$372</c:f>
              <c:numCache>
                <c:formatCode>General</c:formatCode>
                <c:ptCount val="5"/>
                <c:pt idx="0">
                  <c:v>7.8699831990603242</c:v>
                </c:pt>
                <c:pt idx="1">
                  <c:v>7.8247249747787428</c:v>
                </c:pt>
                <c:pt idx="2">
                  <c:v>8.1715730337078654</c:v>
                </c:pt>
                <c:pt idx="3">
                  <c:v>8.6393142568822778</c:v>
                </c:pt>
                <c:pt idx="4">
                  <c:v>8.8986516853932596</c:v>
                </c:pt>
              </c:numCache>
            </c:numRef>
          </c:val>
        </c:ser>
        <c:ser>
          <c:idx val="1"/>
          <c:order val="1"/>
          <c:tx>
            <c:strRef>
              <c:f>'Median to Median'!$A$373</c:f>
              <c:strCache>
                <c:ptCount val="1"/>
                <c:pt idx="0">
                  <c:v>Predominantly Urban average</c:v>
                </c:pt>
              </c:strCache>
            </c:strRef>
          </c:tx>
          <c:spPr>
            <a:ln>
              <a:prstDash val="sysDash"/>
            </a:ln>
          </c:spPr>
          <c:marker>
            <c:symbol val="none"/>
          </c:marker>
          <c:cat>
            <c:numRef>
              <c:f>'Median to Median'!$F$371:$J$371</c:f>
              <c:numCache>
                <c:formatCode>General</c:formatCode>
                <c:ptCount val="5"/>
                <c:pt idx="0">
                  <c:v>2012</c:v>
                </c:pt>
                <c:pt idx="1">
                  <c:v>2013</c:v>
                </c:pt>
                <c:pt idx="2">
                  <c:v>2014</c:v>
                </c:pt>
                <c:pt idx="3">
                  <c:v>2015</c:v>
                </c:pt>
                <c:pt idx="4">
                  <c:v>2016</c:v>
                </c:pt>
              </c:numCache>
            </c:numRef>
          </c:cat>
          <c:val>
            <c:numRef>
              <c:f>'Median to Median'!$F$373:$J$373</c:f>
              <c:numCache>
                <c:formatCode>General</c:formatCode>
                <c:ptCount val="5"/>
                <c:pt idx="0">
                  <c:v>7.0359578729093215</c:v>
                </c:pt>
                <c:pt idx="1">
                  <c:v>7.2466466007001378</c:v>
                </c:pt>
                <c:pt idx="2">
                  <c:v>7.866353591160216</c:v>
                </c:pt>
                <c:pt idx="3">
                  <c:v>8.4020555058105337</c:v>
                </c:pt>
                <c:pt idx="4">
                  <c:v>8.9192265193370179</c:v>
                </c:pt>
              </c:numCache>
            </c:numRef>
          </c:val>
        </c:ser>
        <c:ser>
          <c:idx val="2"/>
          <c:order val="2"/>
          <c:tx>
            <c:strRef>
              <c:f>'Median to Median'!$A$374</c:f>
              <c:strCache>
                <c:ptCount val="1"/>
                <c:pt idx="0">
                  <c:v>East Sussex Shire county average</c:v>
                </c:pt>
              </c:strCache>
            </c:strRef>
          </c:tx>
          <c:spPr>
            <a:ln>
              <a:solidFill>
                <a:schemeClr val="accent1">
                  <a:lumMod val="60000"/>
                  <a:lumOff val="40000"/>
                </a:schemeClr>
              </a:solidFill>
              <a:prstDash val="sysDot"/>
            </a:ln>
          </c:spPr>
          <c:marker>
            <c:symbol val="none"/>
          </c:marker>
          <c:cat>
            <c:numRef>
              <c:f>'Median to Median'!$F$371:$J$371</c:f>
              <c:numCache>
                <c:formatCode>General</c:formatCode>
                <c:ptCount val="5"/>
                <c:pt idx="0">
                  <c:v>2012</c:v>
                </c:pt>
                <c:pt idx="1">
                  <c:v>2013</c:v>
                </c:pt>
                <c:pt idx="2">
                  <c:v>2014</c:v>
                </c:pt>
                <c:pt idx="3">
                  <c:v>2015</c:v>
                </c:pt>
                <c:pt idx="4">
                  <c:v>2016</c:v>
                </c:pt>
              </c:numCache>
            </c:numRef>
          </c:cat>
          <c:val>
            <c:numRef>
              <c:f>'Median to Median'!$F$374:$J$374</c:f>
              <c:numCache>
                <c:formatCode>General</c:formatCode>
                <c:ptCount val="5"/>
                <c:pt idx="0">
                  <c:v>8.7009826640498726</c:v>
                </c:pt>
                <c:pt idx="1">
                  <c:v>8.8134253564480538</c:v>
                </c:pt>
                <c:pt idx="2">
                  <c:v>9.1340000000000003</c:v>
                </c:pt>
                <c:pt idx="3">
                  <c:v>9.3251715029064517</c:v>
                </c:pt>
                <c:pt idx="4">
                  <c:v>9.9740000000000002</c:v>
                </c:pt>
              </c:numCache>
            </c:numRef>
          </c:val>
        </c:ser>
        <c:ser>
          <c:idx val="3"/>
          <c:order val="3"/>
          <c:tx>
            <c:strRef>
              <c:f>'Median to Median'!$A$375</c:f>
              <c:strCache>
                <c:ptCount val="1"/>
                <c:pt idx="0">
                  <c:v>England</c:v>
                </c:pt>
              </c:strCache>
            </c:strRef>
          </c:tx>
          <c:spPr>
            <a:ln>
              <a:solidFill>
                <a:schemeClr val="tx1"/>
              </a:solidFill>
            </a:ln>
          </c:spPr>
          <c:marker>
            <c:symbol val="none"/>
          </c:marker>
          <c:cat>
            <c:numRef>
              <c:f>'Median to Median'!$F$371:$J$371</c:f>
              <c:numCache>
                <c:formatCode>General</c:formatCode>
                <c:ptCount val="5"/>
                <c:pt idx="0">
                  <c:v>2012</c:v>
                </c:pt>
                <c:pt idx="1">
                  <c:v>2013</c:v>
                </c:pt>
                <c:pt idx="2">
                  <c:v>2014</c:v>
                </c:pt>
                <c:pt idx="3">
                  <c:v>2015</c:v>
                </c:pt>
                <c:pt idx="4">
                  <c:v>2016</c:v>
                </c:pt>
              </c:numCache>
            </c:numRef>
          </c:cat>
          <c:val>
            <c:numRef>
              <c:f>'Median to Median'!$F$375:$J$375</c:f>
              <c:numCache>
                <c:formatCode>General</c:formatCode>
                <c:ptCount val="5"/>
                <c:pt idx="0">
                  <c:v>6.77</c:v>
                </c:pt>
                <c:pt idx="1">
                  <c:v>6.76</c:v>
                </c:pt>
                <c:pt idx="2">
                  <c:v>7.09</c:v>
                </c:pt>
                <c:pt idx="3">
                  <c:v>7.52</c:v>
                </c:pt>
                <c:pt idx="4">
                  <c:v>7.72</c:v>
                </c:pt>
              </c:numCache>
            </c:numRef>
          </c:val>
        </c:ser>
        <c:marker val="1"/>
        <c:axId val="163970432"/>
        <c:axId val="164045952"/>
      </c:lineChart>
      <c:catAx>
        <c:axId val="163970432"/>
        <c:scaling>
          <c:orientation val="minMax"/>
        </c:scaling>
        <c:axPos val="b"/>
        <c:numFmt formatCode="General" sourceLinked="1"/>
        <c:tickLblPos val="nextTo"/>
        <c:crossAx val="164045952"/>
        <c:crosses val="autoZero"/>
        <c:auto val="1"/>
        <c:lblAlgn val="ctr"/>
        <c:lblOffset val="100"/>
      </c:catAx>
      <c:valAx>
        <c:axId val="164045952"/>
        <c:scaling>
          <c:orientation val="minMax"/>
        </c:scaling>
        <c:axPos val="l"/>
        <c:majorGridlines/>
        <c:numFmt formatCode="General" sourceLinked="1"/>
        <c:tickLblPos val="nextTo"/>
        <c:crossAx val="1639704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data!$K$468</c:f>
          <c:strCache>
            <c:ptCount val="1"/>
            <c:pt idx="0">
              <c:v>Private Registered Provider (PRP) rents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data!$A$472</c:f>
              <c:strCache>
                <c:ptCount val="1"/>
                <c:pt idx="0">
                  <c:v>Predominantly Rural average</c:v>
                </c:pt>
              </c:strCache>
            </c:strRef>
          </c:tx>
          <c:spPr>
            <a:ln>
              <a:solidFill>
                <a:schemeClr val="bg1">
                  <a:lumMod val="75000"/>
                </a:schemeClr>
              </a:solidFill>
            </a:ln>
          </c:spPr>
          <c:marker>
            <c:symbol val="none"/>
          </c:marker>
          <c:cat>
            <c:numRef>
              <c:f>data!$K$471:$R$471</c:f>
              <c:numCache>
                <c:formatCode>General</c:formatCode>
                <c:ptCount val="8"/>
                <c:pt idx="0">
                  <c:v>2010</c:v>
                </c:pt>
                <c:pt idx="1">
                  <c:v>2011</c:v>
                </c:pt>
                <c:pt idx="2">
                  <c:v>2012</c:v>
                </c:pt>
                <c:pt idx="3">
                  <c:v>2013</c:v>
                </c:pt>
                <c:pt idx="4">
                  <c:v>2014</c:v>
                </c:pt>
                <c:pt idx="5">
                  <c:v>2015</c:v>
                </c:pt>
                <c:pt idx="6">
                  <c:v>2016</c:v>
                </c:pt>
                <c:pt idx="7">
                  <c:v>2017</c:v>
                </c:pt>
              </c:numCache>
            </c:numRef>
          </c:cat>
          <c:val>
            <c:numRef>
              <c:f>data!$K$472:$R$472</c:f>
              <c:numCache>
                <c:formatCode>General</c:formatCode>
                <c:ptCount val="8"/>
                <c:pt idx="0">
                  <c:v>77.832417582417577</c:v>
                </c:pt>
                <c:pt idx="1">
                  <c:v>78.199780219780209</c:v>
                </c:pt>
                <c:pt idx="2">
                  <c:v>82.807472527472527</c:v>
                </c:pt>
                <c:pt idx="3">
                  <c:v>87.67901098901099</c:v>
                </c:pt>
                <c:pt idx="4">
                  <c:v>91.289340659340652</c:v>
                </c:pt>
                <c:pt idx="5">
                  <c:v>94.691208791208823</c:v>
                </c:pt>
                <c:pt idx="6">
                  <c:v>96.589563931555531</c:v>
                </c:pt>
                <c:pt idx="7">
                  <c:v>95.380559292884627</c:v>
                </c:pt>
              </c:numCache>
            </c:numRef>
          </c:val>
        </c:ser>
        <c:ser>
          <c:idx val="1"/>
          <c:order val="1"/>
          <c:tx>
            <c:strRef>
              <c:f>data!$A$473</c:f>
              <c:strCache>
                <c:ptCount val="1"/>
                <c:pt idx="0">
                  <c:v>Predominantly Urban average</c:v>
                </c:pt>
              </c:strCache>
            </c:strRef>
          </c:tx>
          <c:spPr>
            <a:ln>
              <a:prstDash val="sysDash"/>
            </a:ln>
          </c:spPr>
          <c:marker>
            <c:symbol val="none"/>
          </c:marker>
          <c:cat>
            <c:numRef>
              <c:f>data!$K$471:$R$471</c:f>
              <c:numCache>
                <c:formatCode>General</c:formatCode>
                <c:ptCount val="8"/>
                <c:pt idx="0">
                  <c:v>2010</c:v>
                </c:pt>
                <c:pt idx="1">
                  <c:v>2011</c:v>
                </c:pt>
                <c:pt idx="2">
                  <c:v>2012</c:v>
                </c:pt>
                <c:pt idx="3">
                  <c:v>2013</c:v>
                </c:pt>
                <c:pt idx="4">
                  <c:v>2014</c:v>
                </c:pt>
                <c:pt idx="5">
                  <c:v>2015</c:v>
                </c:pt>
                <c:pt idx="6">
                  <c:v>2016</c:v>
                </c:pt>
                <c:pt idx="7">
                  <c:v>2017</c:v>
                </c:pt>
              </c:numCache>
            </c:numRef>
          </c:cat>
          <c:val>
            <c:numRef>
              <c:f>data!$K$473:$R$473</c:f>
              <c:numCache>
                <c:formatCode>General</c:formatCode>
                <c:ptCount val="8"/>
                <c:pt idx="0">
                  <c:v>81.205082872928187</c:v>
                </c:pt>
                <c:pt idx="1">
                  <c:v>81.734640883977889</c:v>
                </c:pt>
                <c:pt idx="2">
                  <c:v>86.541325966850863</c:v>
                </c:pt>
                <c:pt idx="3">
                  <c:v>91.867624309392355</c:v>
                </c:pt>
                <c:pt idx="4">
                  <c:v>96.00314917127065</c:v>
                </c:pt>
                <c:pt idx="5">
                  <c:v>99.579723756905992</c:v>
                </c:pt>
                <c:pt idx="6">
                  <c:v>101.84375747017228</c:v>
                </c:pt>
                <c:pt idx="7">
                  <c:v>100.61498954176298</c:v>
                </c:pt>
              </c:numCache>
            </c:numRef>
          </c:val>
        </c:ser>
        <c:ser>
          <c:idx val="2"/>
          <c:order val="2"/>
          <c:tx>
            <c:strRef>
              <c:f>data!$A$474</c:f>
              <c:strCache>
                <c:ptCount val="1"/>
                <c:pt idx="0">
                  <c:v>East Sussex Shire county average</c:v>
                </c:pt>
              </c:strCache>
            </c:strRef>
          </c:tx>
          <c:spPr>
            <a:ln>
              <a:solidFill>
                <a:schemeClr val="accent1">
                  <a:lumMod val="60000"/>
                  <a:lumOff val="40000"/>
                </a:schemeClr>
              </a:solidFill>
              <a:prstDash val="sysDot"/>
            </a:ln>
          </c:spPr>
          <c:marker>
            <c:symbol val="none"/>
          </c:marker>
          <c:cat>
            <c:numRef>
              <c:f>data!$K$471:$R$471</c:f>
              <c:numCache>
                <c:formatCode>General</c:formatCode>
                <c:ptCount val="8"/>
                <c:pt idx="0">
                  <c:v>2010</c:v>
                </c:pt>
                <c:pt idx="1">
                  <c:v>2011</c:v>
                </c:pt>
                <c:pt idx="2">
                  <c:v>2012</c:v>
                </c:pt>
                <c:pt idx="3">
                  <c:v>2013</c:v>
                </c:pt>
                <c:pt idx="4">
                  <c:v>2014</c:v>
                </c:pt>
                <c:pt idx="5">
                  <c:v>2015</c:v>
                </c:pt>
                <c:pt idx="6">
                  <c:v>2016</c:v>
                </c:pt>
                <c:pt idx="7">
                  <c:v>2017</c:v>
                </c:pt>
              </c:numCache>
            </c:numRef>
          </c:cat>
          <c:val>
            <c:numRef>
              <c:f>data!$K$474:$R$474</c:f>
              <c:numCache>
                <c:formatCode>General</c:formatCode>
                <c:ptCount val="8"/>
                <c:pt idx="0">
                  <c:v>82.00800000000001</c:v>
                </c:pt>
                <c:pt idx="1">
                  <c:v>82.368000000000009</c:v>
                </c:pt>
                <c:pt idx="2">
                  <c:v>86.337999999999994</c:v>
                </c:pt>
                <c:pt idx="3">
                  <c:v>90.77000000000001</c:v>
                </c:pt>
                <c:pt idx="4">
                  <c:v>94.143999999999991</c:v>
                </c:pt>
                <c:pt idx="5">
                  <c:v>96.941999999999993</c:v>
                </c:pt>
                <c:pt idx="6">
                  <c:v>97.835790131735834</c:v>
                </c:pt>
                <c:pt idx="7">
                  <c:v>95.705135232318426</c:v>
                </c:pt>
              </c:numCache>
            </c:numRef>
          </c:val>
        </c:ser>
        <c:ser>
          <c:idx val="3"/>
          <c:order val="3"/>
          <c:tx>
            <c:strRef>
              <c:f>data!$A$475</c:f>
              <c:strCache>
                <c:ptCount val="1"/>
                <c:pt idx="0">
                  <c:v>England</c:v>
                </c:pt>
              </c:strCache>
            </c:strRef>
          </c:tx>
          <c:spPr>
            <a:ln>
              <a:solidFill>
                <a:schemeClr val="tx1"/>
              </a:solidFill>
            </a:ln>
          </c:spPr>
          <c:marker>
            <c:symbol val="none"/>
          </c:marker>
          <c:cat>
            <c:numRef>
              <c:f>data!$K$471:$R$471</c:f>
              <c:numCache>
                <c:formatCode>General</c:formatCode>
                <c:ptCount val="8"/>
                <c:pt idx="0">
                  <c:v>2010</c:v>
                </c:pt>
                <c:pt idx="1">
                  <c:v>2011</c:v>
                </c:pt>
                <c:pt idx="2">
                  <c:v>2012</c:v>
                </c:pt>
                <c:pt idx="3">
                  <c:v>2013</c:v>
                </c:pt>
                <c:pt idx="4">
                  <c:v>2014</c:v>
                </c:pt>
                <c:pt idx="5">
                  <c:v>2015</c:v>
                </c:pt>
                <c:pt idx="6">
                  <c:v>2016</c:v>
                </c:pt>
                <c:pt idx="7">
                  <c:v>2017</c:v>
                </c:pt>
              </c:numCache>
            </c:numRef>
          </c:cat>
          <c:val>
            <c:numRef>
              <c:f>data!$K$475:$R$475</c:f>
              <c:numCache>
                <c:formatCode>General</c:formatCode>
                <c:ptCount val="8"/>
                <c:pt idx="0">
                  <c:v>77.91</c:v>
                </c:pt>
                <c:pt idx="1">
                  <c:v>78.28</c:v>
                </c:pt>
                <c:pt idx="2">
                  <c:v>83.208753658099056</c:v>
                </c:pt>
                <c:pt idx="3">
                  <c:v>88.409942658367427</c:v>
                </c:pt>
                <c:pt idx="4">
                  <c:v>92.3</c:v>
                </c:pt>
                <c:pt idx="5">
                  <c:v>95.89</c:v>
                </c:pt>
                <c:pt idx="6">
                  <c:v>97.837680540713421</c:v>
                </c:pt>
                <c:pt idx="7">
                  <c:v>96.611120677502953</c:v>
                </c:pt>
              </c:numCache>
            </c:numRef>
          </c:val>
        </c:ser>
        <c:marker val="1"/>
        <c:axId val="163971072"/>
        <c:axId val="163972608"/>
      </c:lineChart>
      <c:catAx>
        <c:axId val="163971072"/>
        <c:scaling>
          <c:orientation val="minMax"/>
        </c:scaling>
        <c:axPos val="b"/>
        <c:numFmt formatCode="General" sourceLinked="1"/>
        <c:tickLblPos val="nextTo"/>
        <c:crossAx val="163972608"/>
        <c:crosses val="autoZero"/>
        <c:auto val="1"/>
        <c:lblAlgn val="ctr"/>
        <c:lblOffset val="100"/>
      </c:catAx>
      <c:valAx>
        <c:axId val="163972608"/>
        <c:scaling>
          <c:orientation val="minMax"/>
          <c:min val="60"/>
        </c:scaling>
        <c:axPos val="l"/>
        <c:majorGridlines/>
        <c:title>
          <c:tx>
            <c:strRef>
              <c:f>data!$Q$3</c:f>
              <c:strCache>
                <c:ptCount val="1"/>
                <c:pt idx="0">
                  <c:v>£ per week</c:v>
                </c:pt>
              </c:strCache>
            </c:strRef>
          </c:tx>
          <c:layout/>
          <c:txPr>
            <a:bodyPr rot="-5400000" vert="horz"/>
            <a:lstStyle/>
            <a:p>
              <a:pPr>
                <a:defRPr/>
              </a:pPr>
              <a:endParaRPr lang="en-US"/>
            </a:p>
          </c:txPr>
        </c:title>
        <c:numFmt formatCode="General" sourceLinked="1"/>
        <c:tickLblPos val="nextTo"/>
        <c:crossAx val="16397107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GB"/>
  <c:chart>
    <c:title>
      <c:tx>
        <c:strRef>
          <c:f>calculations!$K$370</c:f>
          <c:strCache>
            <c:ptCount val="1"/>
            <c:pt idx="0">
              <c:v>Numbers accepted as being homeless and in priority need per 1,000 households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calculations!$K$371:$Q$371</c:f>
              <c:strCache>
                <c:ptCount val="7"/>
                <c:pt idx="0">
                  <c:v>2010/11</c:v>
                </c:pt>
                <c:pt idx="1">
                  <c:v>2011/12</c:v>
                </c:pt>
                <c:pt idx="2">
                  <c:v>2012/13</c:v>
                </c:pt>
                <c:pt idx="3">
                  <c:v>2013/14</c:v>
                </c:pt>
                <c:pt idx="4">
                  <c:v>2014/15</c:v>
                </c:pt>
                <c:pt idx="5">
                  <c:v>2015/16</c:v>
                </c:pt>
                <c:pt idx="6">
                  <c:v>2016/17</c:v>
                </c:pt>
              </c:strCache>
            </c:strRef>
          </c:cat>
          <c:val>
            <c:numRef>
              <c:f>calculations!$K$372:$Q$372</c:f>
              <c:numCache>
                <c:formatCode>General</c:formatCode>
                <c:ptCount val="7"/>
                <c:pt idx="0">
                  <c:v>1.5319056889465714</c:v>
                </c:pt>
                <c:pt idx="1">
                  <c:v>1.7471338957386977</c:v>
                </c:pt>
                <c:pt idx="2">
                  <c:v>1.5638297872340425</c:v>
                </c:pt>
                <c:pt idx="3">
                  <c:v>1.3967788102348924</c:v>
                </c:pt>
                <c:pt idx="4">
                  <c:v>1.4075232477192263</c:v>
                </c:pt>
                <c:pt idx="5">
                  <c:v>1.3083100431888377</c:v>
                </c:pt>
                <c:pt idx="6">
                  <c:v>1.3815897912984538</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calculations!$K$371:$Q$371</c:f>
              <c:strCache>
                <c:ptCount val="7"/>
                <c:pt idx="0">
                  <c:v>2010/11</c:v>
                </c:pt>
                <c:pt idx="1">
                  <c:v>2011/12</c:v>
                </c:pt>
                <c:pt idx="2">
                  <c:v>2012/13</c:v>
                </c:pt>
                <c:pt idx="3">
                  <c:v>2013/14</c:v>
                </c:pt>
                <c:pt idx="4">
                  <c:v>2014/15</c:v>
                </c:pt>
                <c:pt idx="5">
                  <c:v>2015/16</c:v>
                </c:pt>
                <c:pt idx="6">
                  <c:v>2016/17</c:v>
                </c:pt>
              </c:strCache>
            </c:strRef>
          </c:cat>
          <c:val>
            <c:numRef>
              <c:f>calculations!$K$373:$Q$373</c:f>
              <c:numCache>
                <c:formatCode>General</c:formatCode>
                <c:ptCount val="7"/>
                <c:pt idx="0">
                  <c:v>2.3579095054366888</c:v>
                </c:pt>
                <c:pt idx="1">
                  <c:v>2.6638372500876883</c:v>
                </c:pt>
                <c:pt idx="2">
                  <c:v>2.886802909594735</c:v>
                </c:pt>
                <c:pt idx="3">
                  <c:v>2.8930583529623037</c:v>
                </c:pt>
                <c:pt idx="4">
                  <c:v>2.9673628652755686</c:v>
                </c:pt>
                <c:pt idx="5">
                  <c:v>3.1219059889577583</c:v>
                </c:pt>
                <c:pt idx="6">
                  <c:v>3.133903171254619</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calculations!$K$371:$Q$371</c:f>
              <c:strCache>
                <c:ptCount val="7"/>
                <c:pt idx="0">
                  <c:v>2010/11</c:v>
                </c:pt>
                <c:pt idx="1">
                  <c:v>2011/12</c:v>
                </c:pt>
                <c:pt idx="2">
                  <c:v>2012/13</c:v>
                </c:pt>
                <c:pt idx="3">
                  <c:v>2013/14</c:v>
                </c:pt>
                <c:pt idx="4">
                  <c:v>2014/15</c:v>
                </c:pt>
                <c:pt idx="5">
                  <c:v>2015/16</c:v>
                </c:pt>
                <c:pt idx="6">
                  <c:v>2016/17</c:v>
                </c:pt>
              </c:strCache>
            </c:strRef>
          </c:cat>
          <c:val>
            <c:numRef>
              <c:f>calculations!$K$374:$Q$374</c:f>
              <c:numCache>
                <c:formatCode>General</c:formatCode>
                <c:ptCount val="7"/>
                <c:pt idx="0">
                  <c:v>1.4455693322716414</c:v>
                </c:pt>
                <c:pt idx="1">
                  <c:v>1.6530542600386759</c:v>
                </c:pt>
                <c:pt idx="2">
                  <c:v>1.6128139869425695</c:v>
                </c:pt>
                <c:pt idx="3">
                  <c:v>1.5367921163686178</c:v>
                </c:pt>
                <c:pt idx="4">
                  <c:v>1.6336857343274034</c:v>
                </c:pt>
                <c:pt idx="5">
                  <c:v>1.6761377326447406</c:v>
                </c:pt>
                <c:pt idx="6">
                  <c:v>1.7682430353836864</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calculations!$K$371:$Q$371</c:f>
              <c:strCache>
                <c:ptCount val="7"/>
                <c:pt idx="0">
                  <c:v>2010/11</c:v>
                </c:pt>
                <c:pt idx="1">
                  <c:v>2011/12</c:v>
                </c:pt>
                <c:pt idx="2">
                  <c:v>2012/13</c:v>
                </c:pt>
                <c:pt idx="3">
                  <c:v>2013/14</c:v>
                </c:pt>
                <c:pt idx="4">
                  <c:v>2014/15</c:v>
                </c:pt>
                <c:pt idx="5">
                  <c:v>2015/16</c:v>
                </c:pt>
                <c:pt idx="6">
                  <c:v>2016/17</c:v>
                </c:pt>
              </c:strCache>
            </c:strRef>
          </c:cat>
          <c:val>
            <c:numRef>
              <c:f>calculations!$K$375:$Q$375</c:f>
              <c:numCache>
                <c:formatCode>General</c:formatCode>
                <c:ptCount val="7"/>
                <c:pt idx="0">
                  <c:v>1.2035398230088497</c:v>
                </c:pt>
                <c:pt idx="1">
                  <c:v>1.4601769911504425</c:v>
                </c:pt>
                <c:pt idx="2">
                  <c:v>1.296137339055794</c:v>
                </c:pt>
                <c:pt idx="3">
                  <c:v>1.3031521049291304</c:v>
                </c:pt>
                <c:pt idx="4">
                  <c:v>1.8951066836052313</c:v>
                </c:pt>
                <c:pt idx="5">
                  <c:v>2.4550326091471772</c:v>
                </c:pt>
                <c:pt idx="6">
                  <c:v>2.6300804181909796</c:v>
                </c:pt>
              </c:numCache>
            </c:numRef>
          </c:val>
        </c:ser>
        <c:marker val="1"/>
        <c:axId val="164012032"/>
        <c:axId val="164013568"/>
      </c:lineChart>
      <c:catAx>
        <c:axId val="164012032"/>
        <c:scaling>
          <c:orientation val="minMax"/>
        </c:scaling>
        <c:axPos val="b"/>
        <c:tickLblPos val="nextTo"/>
        <c:crossAx val="164013568"/>
        <c:crosses val="autoZero"/>
        <c:auto val="1"/>
        <c:lblAlgn val="ctr"/>
        <c:lblOffset val="100"/>
      </c:catAx>
      <c:valAx>
        <c:axId val="164013568"/>
        <c:scaling>
          <c:orientation val="minMax"/>
        </c:scaling>
        <c:axPos val="l"/>
        <c:majorGridlines/>
        <c:numFmt formatCode="General" sourceLinked="1"/>
        <c:tickLblPos val="nextTo"/>
        <c:crossAx val="1640120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calculations!$T$370</c:f>
          <c:strCache>
            <c:ptCount val="1"/>
            <c:pt idx="0">
              <c:v>Households accommodated in temporary accommodation per 1,000 households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calculations!$T$371:$Z$371</c:f>
              <c:strCache>
                <c:ptCount val="7"/>
                <c:pt idx="0">
                  <c:v>2010/11</c:v>
                </c:pt>
                <c:pt idx="1">
                  <c:v>2011/12</c:v>
                </c:pt>
                <c:pt idx="2">
                  <c:v>2012/13</c:v>
                </c:pt>
                <c:pt idx="3">
                  <c:v>2013/14</c:v>
                </c:pt>
                <c:pt idx="4">
                  <c:v>2014/15</c:v>
                </c:pt>
                <c:pt idx="5">
                  <c:v>2015/16</c:v>
                </c:pt>
                <c:pt idx="6">
                  <c:v>2016/17</c:v>
                </c:pt>
              </c:strCache>
            </c:strRef>
          </c:cat>
          <c:val>
            <c:numRef>
              <c:f>calculations!$T$372:$Z$372</c:f>
              <c:numCache>
                <c:formatCode>General</c:formatCode>
                <c:ptCount val="7"/>
                <c:pt idx="0">
                  <c:v>0.53882760112481076</c:v>
                </c:pt>
                <c:pt idx="1">
                  <c:v>0.52346960847934243</c:v>
                </c:pt>
                <c:pt idx="2">
                  <c:v>0.52148936170212767</c:v>
                </c:pt>
                <c:pt idx="3">
                  <c:v>0.52725945626309267</c:v>
                </c:pt>
                <c:pt idx="4">
                  <c:v>0.5182956745447298</c:v>
                </c:pt>
                <c:pt idx="5">
                  <c:v>0.53208596832812938</c:v>
                </c:pt>
                <c:pt idx="6">
                  <c:v>0.60946529797994331</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calculations!$T$371:$Z$371</c:f>
              <c:strCache>
                <c:ptCount val="7"/>
                <c:pt idx="0">
                  <c:v>2010/11</c:v>
                </c:pt>
                <c:pt idx="1">
                  <c:v>2011/12</c:v>
                </c:pt>
                <c:pt idx="2">
                  <c:v>2012/13</c:v>
                </c:pt>
                <c:pt idx="3">
                  <c:v>2013/14</c:v>
                </c:pt>
                <c:pt idx="4">
                  <c:v>2014/15</c:v>
                </c:pt>
                <c:pt idx="5">
                  <c:v>2015/16</c:v>
                </c:pt>
                <c:pt idx="6">
                  <c:v>2016/17</c:v>
                </c:pt>
              </c:strCache>
            </c:strRef>
          </c:cat>
          <c:val>
            <c:numRef>
              <c:f>calculations!$T$373:$Z$373</c:f>
              <c:numCache>
                <c:formatCode>General</c:formatCode>
                <c:ptCount val="7"/>
                <c:pt idx="0">
                  <c:v>3.0917572781480183</c:v>
                </c:pt>
                <c:pt idx="1">
                  <c:v>3.2433532094002104</c:v>
                </c:pt>
                <c:pt idx="2">
                  <c:v>3.4240148801322676</c:v>
                </c:pt>
                <c:pt idx="3">
                  <c:v>3.7907867467299932</c:v>
                </c:pt>
                <c:pt idx="4">
                  <c:v>4.2562404013969912</c:v>
                </c:pt>
                <c:pt idx="5">
                  <c:v>4.6062919267434745</c:v>
                </c:pt>
                <c:pt idx="6">
                  <c:v>4.9234524923780896</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calculations!$T$371:$Z$371</c:f>
              <c:strCache>
                <c:ptCount val="7"/>
                <c:pt idx="0">
                  <c:v>2010/11</c:v>
                </c:pt>
                <c:pt idx="1">
                  <c:v>2011/12</c:v>
                </c:pt>
                <c:pt idx="2">
                  <c:v>2012/13</c:v>
                </c:pt>
                <c:pt idx="3">
                  <c:v>2013/14</c:v>
                </c:pt>
                <c:pt idx="4">
                  <c:v>2014/15</c:v>
                </c:pt>
                <c:pt idx="5">
                  <c:v>2015/16</c:v>
                </c:pt>
                <c:pt idx="6">
                  <c:v>2016/17</c:v>
                </c:pt>
              </c:strCache>
            </c:strRef>
          </c:cat>
          <c:val>
            <c:numRef>
              <c:f>calculations!$T$374:$Z$374</c:f>
              <c:numCache>
                <c:formatCode>General</c:formatCode>
                <c:ptCount val="7"/>
                <c:pt idx="0">
                  <c:v>0.67978614492094191</c:v>
                </c:pt>
                <c:pt idx="1">
                  <c:v>0.73336366738710046</c:v>
                </c:pt>
                <c:pt idx="2">
                  <c:v>0.79760982626977983</c:v>
                </c:pt>
                <c:pt idx="3">
                  <c:v>0.78544219944931082</c:v>
                </c:pt>
                <c:pt idx="4">
                  <c:v>0.83793569358609132</c:v>
                </c:pt>
                <c:pt idx="5">
                  <c:v>0.94228048516694274</c:v>
                </c:pt>
                <c:pt idx="6">
                  <c:v>1.0636627393294644</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calculations!$T$371:$Z$371</c:f>
              <c:strCache>
                <c:ptCount val="7"/>
                <c:pt idx="0">
                  <c:v>2010/11</c:v>
                </c:pt>
                <c:pt idx="1">
                  <c:v>2011/12</c:v>
                </c:pt>
                <c:pt idx="2">
                  <c:v>2012/13</c:v>
                </c:pt>
                <c:pt idx="3">
                  <c:v>2013/14</c:v>
                </c:pt>
                <c:pt idx="4">
                  <c:v>2014/15</c:v>
                </c:pt>
                <c:pt idx="5">
                  <c:v>2015/16</c:v>
                </c:pt>
                <c:pt idx="6">
                  <c:v>2016/17</c:v>
                </c:pt>
              </c:strCache>
            </c:strRef>
          </c:cat>
          <c:val>
            <c:numRef>
              <c:f>calculations!$T$375:$Z$375</c:f>
              <c:numCache>
                <c:formatCode>General</c:formatCode>
                <c:ptCount val="7"/>
                <c:pt idx="0">
                  <c:v>0.70796460176991149</c:v>
                </c:pt>
                <c:pt idx="1">
                  <c:v>0.7831858407079646</c:v>
                </c:pt>
                <c:pt idx="2">
                  <c:v>0.78540772532188841</c:v>
                </c:pt>
                <c:pt idx="3">
                  <c:v>0.6854241590861011</c:v>
                </c:pt>
                <c:pt idx="4">
                  <c:v>0.68760507989216357</c:v>
                </c:pt>
                <c:pt idx="5">
                  <c:v>0.79757404561126566</c:v>
                </c:pt>
                <c:pt idx="6">
                  <c:v>1.1061085870896643</c:v>
                </c:pt>
              </c:numCache>
            </c:numRef>
          </c:val>
        </c:ser>
        <c:marker val="1"/>
        <c:axId val="164105600"/>
        <c:axId val="164123776"/>
      </c:lineChart>
      <c:catAx>
        <c:axId val="164105600"/>
        <c:scaling>
          <c:orientation val="minMax"/>
        </c:scaling>
        <c:axPos val="b"/>
        <c:tickLblPos val="nextTo"/>
        <c:crossAx val="164123776"/>
        <c:crosses val="autoZero"/>
        <c:auto val="1"/>
        <c:lblAlgn val="ctr"/>
        <c:lblOffset val="100"/>
      </c:catAx>
      <c:valAx>
        <c:axId val="164123776"/>
        <c:scaling>
          <c:orientation val="minMax"/>
        </c:scaling>
        <c:axPos val="l"/>
        <c:majorGridlines/>
        <c:numFmt formatCode="General" sourceLinked="1"/>
        <c:tickLblPos val="nextTo"/>
        <c:crossAx val="164105600"/>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calculations!$U$370</c:f>
          <c:strCache>
            <c:ptCount val="1"/>
            <c:pt idx="0">
              <c:v>Housing Association Housebuilding: Permanent Dwellings Started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calculations!$U$371:$AB$371</c:f>
              <c:strCache>
                <c:ptCount val="8"/>
                <c:pt idx="0">
                  <c:v>2009/10</c:v>
                </c:pt>
                <c:pt idx="1">
                  <c:v>2010/11</c:v>
                </c:pt>
                <c:pt idx="2">
                  <c:v>2011/12</c:v>
                </c:pt>
                <c:pt idx="3">
                  <c:v>2012/13</c:v>
                </c:pt>
                <c:pt idx="4">
                  <c:v>2013/14</c:v>
                </c:pt>
                <c:pt idx="5">
                  <c:v>2014/15</c:v>
                </c:pt>
                <c:pt idx="6">
                  <c:v>2015/16</c:v>
                </c:pt>
                <c:pt idx="7">
                  <c:v>2016/17</c:v>
                </c:pt>
              </c:strCache>
            </c:strRef>
          </c:cat>
          <c:val>
            <c:numRef>
              <c:f>calculations!$U$372:$AB$372</c:f>
              <c:numCache>
                <c:formatCode>General</c:formatCode>
                <c:ptCount val="8"/>
                <c:pt idx="0">
                  <c:v>0.79300857743971531</c:v>
                </c:pt>
                <c:pt idx="1">
                  <c:v>1.1263318723811779</c:v>
                </c:pt>
                <c:pt idx="2">
                  <c:v>1.1303985502190022</c:v>
                </c:pt>
                <c:pt idx="3">
                  <c:v>0.98631048578762215</c:v>
                </c:pt>
                <c:pt idx="4">
                  <c:v>1.4454419414153532</c:v>
                </c:pt>
                <c:pt idx="5">
                  <c:v>1.4462189754844441</c:v>
                </c:pt>
                <c:pt idx="6">
                  <c:v>1.3133244490797069</c:v>
                </c:pt>
                <c:pt idx="7">
                  <c:v>1.6126851690905233</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calculations!$U$371:$AB$371</c:f>
              <c:strCache>
                <c:ptCount val="8"/>
                <c:pt idx="0">
                  <c:v>2009/10</c:v>
                </c:pt>
                <c:pt idx="1">
                  <c:v>2010/11</c:v>
                </c:pt>
                <c:pt idx="2">
                  <c:v>2011/12</c:v>
                </c:pt>
                <c:pt idx="3">
                  <c:v>2012/13</c:v>
                </c:pt>
                <c:pt idx="4">
                  <c:v>2013/14</c:v>
                </c:pt>
                <c:pt idx="5">
                  <c:v>2014/15</c:v>
                </c:pt>
                <c:pt idx="6">
                  <c:v>2015/16</c:v>
                </c:pt>
                <c:pt idx="7">
                  <c:v>2016/17</c:v>
                </c:pt>
              </c:strCache>
            </c:strRef>
          </c:cat>
          <c:val>
            <c:numRef>
              <c:f>calculations!$U$373:$AB$373</c:f>
              <c:numCache>
                <c:formatCode>General</c:formatCode>
                <c:ptCount val="8"/>
                <c:pt idx="0">
                  <c:v>0.80655559793908593</c:v>
                </c:pt>
                <c:pt idx="1">
                  <c:v>0.97517641676101163</c:v>
                </c:pt>
                <c:pt idx="2">
                  <c:v>0.88221968598825207</c:v>
                </c:pt>
                <c:pt idx="3">
                  <c:v>0.85549354781969078</c:v>
                </c:pt>
                <c:pt idx="4">
                  <c:v>1.0202599164727935</c:v>
                </c:pt>
                <c:pt idx="5">
                  <c:v>1.0291377901877978</c:v>
                </c:pt>
                <c:pt idx="6">
                  <c:v>0.82573225404812978</c:v>
                </c:pt>
                <c:pt idx="7">
                  <c:v>0.81989898066788403</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calculations!$U$371:$AB$371</c:f>
              <c:strCache>
                <c:ptCount val="8"/>
                <c:pt idx="0">
                  <c:v>2009/10</c:v>
                </c:pt>
                <c:pt idx="1">
                  <c:v>2010/11</c:v>
                </c:pt>
                <c:pt idx="2">
                  <c:v>2011/12</c:v>
                </c:pt>
                <c:pt idx="3">
                  <c:v>2012/13</c:v>
                </c:pt>
                <c:pt idx="4">
                  <c:v>2013/14</c:v>
                </c:pt>
                <c:pt idx="5">
                  <c:v>2014/15</c:v>
                </c:pt>
                <c:pt idx="6">
                  <c:v>2015/16</c:v>
                </c:pt>
                <c:pt idx="7">
                  <c:v>2016/17</c:v>
                </c:pt>
              </c:strCache>
            </c:strRef>
          </c:cat>
          <c:val>
            <c:numRef>
              <c:f>calculations!$U$374:$AB$374</c:f>
              <c:numCache>
                <c:formatCode>General</c:formatCode>
                <c:ptCount val="8"/>
                <c:pt idx="0">
                  <c:v>0.37465844714839702</c:v>
                </c:pt>
                <c:pt idx="1">
                  <c:v>0.47170315859280576</c:v>
                </c:pt>
                <c:pt idx="2">
                  <c:v>0.97365704950025667</c:v>
                </c:pt>
                <c:pt idx="3">
                  <c:v>0.86039508412105992</c:v>
                </c:pt>
                <c:pt idx="4">
                  <c:v>1.1050721973499276</c:v>
                </c:pt>
                <c:pt idx="5">
                  <c:v>1.2392684459740451</c:v>
                </c:pt>
                <c:pt idx="6">
                  <c:v>1.2078068335623584</c:v>
                </c:pt>
                <c:pt idx="7">
                  <c:v>1.358653538181781</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calculations!$U$371:$AB$371</c:f>
              <c:strCache>
                <c:ptCount val="8"/>
                <c:pt idx="0">
                  <c:v>2009/10</c:v>
                </c:pt>
                <c:pt idx="1">
                  <c:v>2010/11</c:v>
                </c:pt>
                <c:pt idx="2">
                  <c:v>2011/12</c:v>
                </c:pt>
                <c:pt idx="3">
                  <c:v>2012/13</c:v>
                </c:pt>
                <c:pt idx="4">
                  <c:v>2013/14</c:v>
                </c:pt>
                <c:pt idx="5">
                  <c:v>2014/15</c:v>
                </c:pt>
                <c:pt idx="6">
                  <c:v>2015/16</c:v>
                </c:pt>
                <c:pt idx="7">
                  <c:v>2016/17</c:v>
                </c:pt>
              </c:strCache>
            </c:strRef>
          </c:cat>
          <c:val>
            <c:numRef>
              <c:f>calculations!$U$375:$AB$375</c:f>
              <c:numCache>
                <c:formatCode>General</c:formatCode>
                <c:ptCount val="8"/>
                <c:pt idx="0">
                  <c:v>0.7038463130874012</c:v>
                </c:pt>
                <c:pt idx="1">
                  <c:v>#N/A</c:v>
                </c:pt>
                <c:pt idx="2">
                  <c:v>0.73505390395295656</c:v>
                </c:pt>
                <c:pt idx="3">
                  <c:v>0.97489641725566678</c:v>
                </c:pt>
                <c:pt idx="4">
                  <c:v>0.40420371867421184</c:v>
                </c:pt>
                <c:pt idx="5">
                  <c:v>0.7636042118800741</c:v>
                </c:pt>
                <c:pt idx="6">
                  <c:v>0.39947269604122571</c:v>
                </c:pt>
                <c:pt idx="7">
                  <c:v>1.0386290097071864</c:v>
                </c:pt>
              </c:numCache>
            </c:numRef>
          </c:val>
        </c:ser>
        <c:marker val="1"/>
        <c:axId val="127928960"/>
        <c:axId val="127938944"/>
      </c:lineChart>
      <c:catAx>
        <c:axId val="127928960"/>
        <c:scaling>
          <c:orientation val="minMax"/>
        </c:scaling>
        <c:axPos val="b"/>
        <c:tickLblPos val="nextTo"/>
        <c:crossAx val="127938944"/>
        <c:crosses val="autoZero"/>
        <c:auto val="1"/>
        <c:lblAlgn val="ctr"/>
        <c:lblOffset val="100"/>
      </c:catAx>
      <c:valAx>
        <c:axId val="127938944"/>
        <c:scaling>
          <c:orientation val="minMax"/>
        </c:scaling>
        <c:axPos val="l"/>
        <c:majorGridlines/>
        <c:numFmt formatCode="General" sourceLinked="1"/>
        <c:tickLblPos val="nextTo"/>
        <c:crossAx val="127928960"/>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calculations!$AD$370</c:f>
          <c:strCache>
            <c:ptCount val="1"/>
            <c:pt idx="0">
              <c:v>Local Authority Housebuilding: Permanent Dwellings Started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calculations!$AD$371:$AK$371</c:f>
              <c:strCache>
                <c:ptCount val="8"/>
                <c:pt idx="0">
                  <c:v>2009/10</c:v>
                </c:pt>
                <c:pt idx="1">
                  <c:v>2010/11</c:v>
                </c:pt>
                <c:pt idx="2">
                  <c:v>2011/12</c:v>
                </c:pt>
                <c:pt idx="3">
                  <c:v>2012/13</c:v>
                </c:pt>
                <c:pt idx="4">
                  <c:v>2013/14</c:v>
                </c:pt>
                <c:pt idx="5">
                  <c:v>2014/15</c:v>
                </c:pt>
                <c:pt idx="6">
                  <c:v>2015/16</c:v>
                </c:pt>
                <c:pt idx="7">
                  <c:v>2016/17</c:v>
                </c:pt>
              </c:strCache>
            </c:strRef>
          </c:cat>
          <c:val>
            <c:numRef>
              <c:f>calculations!$AD$372:$AK$372</c:f>
              <c:numCache>
                <c:formatCode>General</c:formatCode>
                <c:ptCount val="8"/>
                <c:pt idx="0">
                  <c:v>1.2137886389383398E-2</c:v>
                </c:pt>
                <c:pt idx="1">
                  <c:v>6.8262537720071403E-2</c:v>
                </c:pt>
                <c:pt idx="2">
                  <c:v>1.395553765702472E-2</c:v>
                </c:pt>
                <c:pt idx="3">
                  <c:v>3.9610862883037046E-3</c:v>
                </c:pt>
                <c:pt idx="4">
                  <c:v>3.9331753507900772E-3</c:v>
                </c:pt>
                <c:pt idx="5">
                  <c:v>2.5338068303635809E-2</c:v>
                </c:pt>
                <c:pt idx="6">
                  <c:v>1.3519516387585221E-2</c:v>
                </c:pt>
                <c:pt idx="7">
                  <c:v>5.2146706066400136E-2</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calculations!$AD$371:$AK$371</c:f>
              <c:strCache>
                <c:ptCount val="8"/>
                <c:pt idx="0">
                  <c:v>2009/10</c:v>
                </c:pt>
                <c:pt idx="1">
                  <c:v>2010/11</c:v>
                </c:pt>
                <c:pt idx="2">
                  <c:v>2011/12</c:v>
                </c:pt>
                <c:pt idx="3">
                  <c:v>2012/13</c:v>
                </c:pt>
                <c:pt idx="4">
                  <c:v>2013/14</c:v>
                </c:pt>
                <c:pt idx="5">
                  <c:v>2014/15</c:v>
                </c:pt>
                <c:pt idx="6">
                  <c:v>2015/16</c:v>
                </c:pt>
                <c:pt idx="7">
                  <c:v>2016/17</c:v>
                </c:pt>
              </c:strCache>
            </c:strRef>
          </c:cat>
          <c:val>
            <c:numRef>
              <c:f>calculations!$AD$373:$AK$373</c:f>
              <c:numCache>
                <c:formatCode>General</c:formatCode>
                <c:ptCount val="8"/>
                <c:pt idx="0">
                  <c:v>1.6789250581579641E-2</c:v>
                </c:pt>
                <c:pt idx="1">
                  <c:v>6.7460834310179574E-2</c:v>
                </c:pt>
                <c:pt idx="2">
                  <c:v>8.5033222745855647E-2</c:v>
                </c:pt>
                <c:pt idx="3">
                  <c:v>0.10327219619318696</c:v>
                </c:pt>
                <c:pt idx="4">
                  <c:v>0.13673586509429189</c:v>
                </c:pt>
                <c:pt idx="5">
                  <c:v>0.10644001256383953</c:v>
                </c:pt>
                <c:pt idx="6">
                  <c:v>7.648069542988957E-2</c:v>
                </c:pt>
                <c:pt idx="7">
                  <c:v>8.1665827323441423E-2</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calculations!$AD$371:$AK$371</c:f>
              <c:strCache>
                <c:ptCount val="8"/>
                <c:pt idx="0">
                  <c:v>2009/10</c:v>
                </c:pt>
                <c:pt idx="1">
                  <c:v>2010/11</c:v>
                </c:pt>
                <c:pt idx="2">
                  <c:v>2011/12</c:v>
                </c:pt>
                <c:pt idx="3">
                  <c:v>2012/13</c:v>
                </c:pt>
                <c:pt idx="4">
                  <c:v>2013/14</c:v>
                </c:pt>
                <c:pt idx="5">
                  <c:v>2014/15</c:v>
                </c:pt>
                <c:pt idx="6">
                  <c:v>2015/16</c:v>
                </c:pt>
                <c:pt idx="7">
                  <c:v>2016/17</c:v>
                </c:pt>
              </c:strCache>
            </c:strRef>
          </c:cat>
          <c:val>
            <c:numRef>
              <c:f>calculations!$AD$374:$AK$374</c:f>
              <c:numCache>
                <c:formatCode>General</c:formatCode>
                <c:ptCount val="8"/>
                <c:pt idx="0">
                  <c:v>9.6894425986654466E-3</c:v>
                </c:pt>
                <c:pt idx="1">
                  <c:v>3.4227893594035795E-2</c:v>
                </c:pt>
                <c:pt idx="2">
                  <c:v>2.8699498183959535E-2</c:v>
                </c:pt>
                <c:pt idx="3">
                  <c:v>2.3253921192461079E-2</c:v>
                </c:pt>
                <c:pt idx="4">
                  <c:v>2.4160323706319712E-2</c:v>
                </c:pt>
                <c:pt idx="5">
                  <c:v>5.0029340123426552E-2</c:v>
                </c:pt>
                <c:pt idx="6">
                  <c:v>5.1659830349117128E-2</c:v>
                </c:pt>
                <c:pt idx="7">
                  <c:v>6.0958599811958218E-2</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calculations!$AD$371:$AK$371</c:f>
              <c:strCache>
                <c:ptCount val="8"/>
                <c:pt idx="0">
                  <c:v>2009/10</c:v>
                </c:pt>
                <c:pt idx="1">
                  <c:v>2010/11</c:v>
                </c:pt>
                <c:pt idx="2">
                  <c:v>2011/12</c:v>
                </c:pt>
                <c:pt idx="3">
                  <c:v>2012/13</c:v>
                </c:pt>
                <c:pt idx="4">
                  <c:v>2013/14</c:v>
                </c:pt>
                <c:pt idx="5">
                  <c:v>2014/15</c:v>
                </c:pt>
                <c:pt idx="6">
                  <c:v>2015/16</c:v>
                </c:pt>
                <c:pt idx="7">
                  <c:v>2016/17</c:v>
                </c:pt>
              </c:strCache>
            </c:strRef>
          </c:cat>
          <c:val>
            <c:numRef>
              <c:f>calculations!$AD$375:$AK$375</c:f>
              <c:numCache>
                <c:formatCode>General</c:formatCode>
                <c:ptCount val="8"/>
                <c:pt idx="0">
                  <c:v>0</c:v>
                </c:pt>
                <c:pt idx="1">
                  <c:v>#N/A</c:v>
                </c:pt>
                <c:pt idx="2">
                  <c:v>0</c:v>
                </c:pt>
                <c:pt idx="3">
                  <c:v>0</c:v>
                </c:pt>
                <c:pt idx="4">
                  <c:v>0</c:v>
                </c:pt>
                <c:pt idx="5">
                  <c:v>0</c:v>
                </c:pt>
                <c:pt idx="6">
                  <c:v>0</c:v>
                </c:pt>
                <c:pt idx="7">
                  <c:v>0</c:v>
                </c:pt>
              </c:numCache>
            </c:numRef>
          </c:val>
        </c:ser>
        <c:marker val="1"/>
        <c:axId val="127969536"/>
        <c:axId val="127987712"/>
      </c:lineChart>
      <c:catAx>
        <c:axId val="127969536"/>
        <c:scaling>
          <c:orientation val="minMax"/>
        </c:scaling>
        <c:axPos val="b"/>
        <c:tickLblPos val="nextTo"/>
        <c:crossAx val="127987712"/>
        <c:crosses val="autoZero"/>
        <c:auto val="1"/>
        <c:lblAlgn val="ctr"/>
        <c:lblOffset val="100"/>
      </c:catAx>
      <c:valAx>
        <c:axId val="127987712"/>
        <c:scaling>
          <c:orientation val="minMax"/>
        </c:scaling>
        <c:axPos val="l"/>
        <c:majorGridlines/>
        <c:numFmt formatCode="General" sourceLinked="1"/>
        <c:tickLblPos val="nextTo"/>
        <c:crossAx val="12796953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calculations!$AM$370</c:f>
          <c:strCache>
            <c:ptCount val="1"/>
            <c:pt idx="0">
              <c:v>Housebuilding: All Permanent Dwellings Started per 1,000 Total Dwelling Stock</c:v>
            </c:pt>
          </c:strCache>
        </c:strRef>
      </c:tx>
      <c:layout/>
      <c:spPr>
        <a:effectLst>
          <a:outerShdw blurRad="50800" dist="38100" dir="2700000" algn="tl" rotWithShape="0">
            <a:prstClr val="black">
              <a:alpha val="40000"/>
            </a:prstClr>
          </a:outerShdw>
        </a:effectLst>
      </c:spPr>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calculations!$AM$371:$AT$371</c:f>
              <c:strCache>
                <c:ptCount val="8"/>
                <c:pt idx="0">
                  <c:v>2009/10</c:v>
                </c:pt>
                <c:pt idx="1">
                  <c:v>2010/11</c:v>
                </c:pt>
                <c:pt idx="2">
                  <c:v>2011/12</c:v>
                </c:pt>
                <c:pt idx="3">
                  <c:v>2012/13</c:v>
                </c:pt>
                <c:pt idx="4">
                  <c:v>2013/14</c:v>
                </c:pt>
                <c:pt idx="5">
                  <c:v>2014/15</c:v>
                </c:pt>
                <c:pt idx="6">
                  <c:v>2015/16</c:v>
                </c:pt>
                <c:pt idx="7">
                  <c:v>2016/17</c:v>
                </c:pt>
              </c:strCache>
            </c:strRef>
          </c:cat>
          <c:val>
            <c:numRef>
              <c:f>calculations!$AM$372:$AT$372</c:f>
              <c:numCache>
                <c:formatCode>General</c:formatCode>
                <c:ptCount val="8"/>
                <c:pt idx="0">
                  <c:v>4.1329503155850453</c:v>
                </c:pt>
                <c:pt idx="1">
                  <c:v>5.4469489657221688</c:v>
                </c:pt>
                <c:pt idx="2">
                  <c:v>5.7018339570129566</c:v>
                </c:pt>
                <c:pt idx="3">
                  <c:v>5.4722407072915695</c:v>
                </c:pt>
                <c:pt idx="4">
                  <c:v>7.6382265312343298</c:v>
                </c:pt>
                <c:pt idx="5">
                  <c:v>7.6949764355964767</c:v>
                </c:pt>
                <c:pt idx="6">
                  <c:v>7.9784460281592224</c:v>
                </c:pt>
                <c:pt idx="7">
                  <c:v>9.1546439538791358</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calculations!$AM$371:$AT$371</c:f>
              <c:strCache>
                <c:ptCount val="8"/>
                <c:pt idx="0">
                  <c:v>2009/10</c:v>
                </c:pt>
                <c:pt idx="1">
                  <c:v>2010/11</c:v>
                </c:pt>
                <c:pt idx="2">
                  <c:v>2011/12</c:v>
                </c:pt>
                <c:pt idx="3">
                  <c:v>2012/13</c:v>
                </c:pt>
                <c:pt idx="4">
                  <c:v>2013/14</c:v>
                </c:pt>
                <c:pt idx="5">
                  <c:v>2014/15</c:v>
                </c:pt>
                <c:pt idx="6">
                  <c:v>2015/16</c:v>
                </c:pt>
                <c:pt idx="7">
                  <c:v>2016/17</c:v>
                </c:pt>
              </c:strCache>
            </c:strRef>
          </c:cat>
          <c:val>
            <c:numRef>
              <c:f>calculations!$AM$373:$AT$373</c:f>
              <c:numCache>
                <c:formatCode>General</c:formatCode>
                <c:ptCount val="8"/>
                <c:pt idx="0">
                  <c:v>3.2074184311049745</c:v>
                </c:pt>
                <c:pt idx="1">
                  <c:v>3.8559544205214524</c:v>
                </c:pt>
                <c:pt idx="2">
                  <c:v>4.3665888524102261</c:v>
                </c:pt>
                <c:pt idx="3">
                  <c:v>4.1941837099103987</c:v>
                </c:pt>
                <c:pt idx="4">
                  <c:v>5.1394278524383354</c:v>
                </c:pt>
                <c:pt idx="5">
                  <c:v>5.3820771997004009</c:v>
                </c:pt>
                <c:pt idx="6">
                  <c:v>5.0652257185134486</c:v>
                </c:pt>
                <c:pt idx="7">
                  <c:v>5.5746649270549167</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calculations!$AM$371:$AT$371</c:f>
              <c:strCache>
                <c:ptCount val="8"/>
                <c:pt idx="0">
                  <c:v>2009/10</c:v>
                </c:pt>
                <c:pt idx="1">
                  <c:v>2010/11</c:v>
                </c:pt>
                <c:pt idx="2">
                  <c:v>2011/12</c:v>
                </c:pt>
                <c:pt idx="3">
                  <c:v>2012/13</c:v>
                </c:pt>
                <c:pt idx="4">
                  <c:v>2013/14</c:v>
                </c:pt>
                <c:pt idx="5">
                  <c:v>2014/15</c:v>
                </c:pt>
                <c:pt idx="6">
                  <c:v>2015/16</c:v>
                </c:pt>
                <c:pt idx="7">
                  <c:v>2016/17</c:v>
                </c:pt>
              </c:strCache>
            </c:strRef>
          </c:cat>
          <c:val>
            <c:numRef>
              <c:f>calculations!$AM$374:$AT$374</c:f>
              <c:numCache>
                <c:formatCode>General</c:formatCode>
                <c:ptCount val="8"/>
                <c:pt idx="0">
                  <c:v>1.9906421516591557</c:v>
                </c:pt>
                <c:pt idx="1">
                  <c:v>2.7927821929383576</c:v>
                </c:pt>
                <c:pt idx="2">
                  <c:v>5.1435878411918576</c:v>
                </c:pt>
                <c:pt idx="3">
                  <c:v>4.8452715793746179</c:v>
                </c:pt>
                <c:pt idx="4">
                  <c:v>6.2186572322353344</c:v>
                </c:pt>
                <c:pt idx="5">
                  <c:v>6.7320730803585862</c:v>
                </c:pt>
                <c:pt idx="6">
                  <c:v>7.0371020901567363</c:v>
                </c:pt>
                <c:pt idx="7">
                  <c:v>7.8522942130658029</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calculations!$AM$371:$AT$371</c:f>
              <c:strCache>
                <c:ptCount val="8"/>
                <c:pt idx="0">
                  <c:v>2009/10</c:v>
                </c:pt>
                <c:pt idx="1">
                  <c:v>2010/11</c:v>
                </c:pt>
                <c:pt idx="2">
                  <c:v>2011/12</c:v>
                </c:pt>
                <c:pt idx="3">
                  <c:v>2012/13</c:v>
                </c:pt>
                <c:pt idx="4">
                  <c:v>2013/14</c:v>
                </c:pt>
                <c:pt idx="5">
                  <c:v>2014/15</c:v>
                </c:pt>
                <c:pt idx="6">
                  <c:v>2015/16</c:v>
                </c:pt>
                <c:pt idx="7">
                  <c:v>2016/17</c:v>
                </c:pt>
              </c:strCache>
            </c:strRef>
          </c:cat>
          <c:val>
            <c:numRef>
              <c:f>calculations!$AM$375:$AT$375</c:f>
              <c:numCache>
                <c:formatCode>General</c:formatCode>
                <c:ptCount val="8"/>
                <c:pt idx="0">
                  <c:v>3.3950233925392284</c:v>
                </c:pt>
                <c:pt idx="1">
                  <c:v>#N/A</c:v>
                </c:pt>
                <c:pt idx="2">
                  <c:v>4.818686703691605</c:v>
                </c:pt>
                <c:pt idx="3">
                  <c:v>5.2806889268015285</c:v>
                </c:pt>
                <c:pt idx="4">
                  <c:v>4.2845594179466451</c:v>
                </c:pt>
                <c:pt idx="5">
                  <c:v>3.4563138011413876</c:v>
                </c:pt>
                <c:pt idx="6">
                  <c:v>4.3143051172452349</c:v>
                </c:pt>
                <c:pt idx="7">
                  <c:v>4.5140414652658496</c:v>
                </c:pt>
              </c:numCache>
            </c:numRef>
          </c:val>
        </c:ser>
        <c:marker val="1"/>
        <c:axId val="163481472"/>
        <c:axId val="163483008"/>
      </c:lineChart>
      <c:catAx>
        <c:axId val="163481472"/>
        <c:scaling>
          <c:orientation val="minMax"/>
        </c:scaling>
        <c:axPos val="b"/>
        <c:tickLblPos val="nextTo"/>
        <c:crossAx val="163483008"/>
        <c:crosses val="autoZero"/>
        <c:auto val="1"/>
        <c:lblAlgn val="ctr"/>
        <c:lblOffset val="100"/>
      </c:catAx>
      <c:valAx>
        <c:axId val="163483008"/>
        <c:scaling>
          <c:orientation val="minMax"/>
        </c:scaling>
        <c:axPos val="l"/>
        <c:majorGridlines/>
        <c:numFmt formatCode="General" sourceLinked="1"/>
        <c:tickLblPos val="nextTo"/>
        <c:crossAx val="16348147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calculations!$AV$370</c:f>
          <c:strCache>
            <c:ptCount val="1"/>
            <c:pt idx="0">
              <c:v>Private Enterprise Housebuilding: Permanent Dwellings Completed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calculations!$AV$371:$BC$371</c:f>
              <c:strCache>
                <c:ptCount val="8"/>
                <c:pt idx="0">
                  <c:v>2009/10</c:v>
                </c:pt>
                <c:pt idx="1">
                  <c:v>2010/11</c:v>
                </c:pt>
                <c:pt idx="2">
                  <c:v>2011/12</c:v>
                </c:pt>
                <c:pt idx="3">
                  <c:v>2012/13</c:v>
                </c:pt>
                <c:pt idx="4">
                  <c:v>2013/14</c:v>
                </c:pt>
                <c:pt idx="5">
                  <c:v>2014/15</c:v>
                </c:pt>
                <c:pt idx="6">
                  <c:v>2015/16</c:v>
                </c:pt>
                <c:pt idx="7">
                  <c:v>2016/17</c:v>
                </c:pt>
              </c:strCache>
            </c:strRef>
          </c:cat>
          <c:val>
            <c:numRef>
              <c:f>calculations!$AV$372:$BC$372</c:f>
              <c:numCache>
                <c:formatCode>General</c:formatCode>
                <c:ptCount val="8"/>
                <c:pt idx="0">
                  <c:v>4.1066515617413817</c:v>
                </c:pt>
                <c:pt idx="1">
                  <c:v>4.2523545556209168</c:v>
                </c:pt>
                <c:pt idx="2">
                  <c:v>4.6850733562868694</c:v>
                </c:pt>
                <c:pt idx="3">
                  <c:v>4.511677282377919</c:v>
                </c:pt>
                <c:pt idx="4">
                  <c:v>4.9361350652415474</c:v>
                </c:pt>
                <c:pt idx="5">
                  <c:v>5.5919167663947045</c:v>
                </c:pt>
                <c:pt idx="6">
                  <c:v>6.0876450933812318</c:v>
                </c:pt>
                <c:pt idx="7">
                  <c:v>6.7249937230816776</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calculations!$AV$371:$BC$371</c:f>
              <c:strCache>
                <c:ptCount val="8"/>
                <c:pt idx="0">
                  <c:v>2009/10</c:v>
                </c:pt>
                <c:pt idx="1">
                  <c:v>2010/11</c:v>
                </c:pt>
                <c:pt idx="2">
                  <c:v>2011/12</c:v>
                </c:pt>
                <c:pt idx="3">
                  <c:v>2012/13</c:v>
                </c:pt>
                <c:pt idx="4">
                  <c:v>2013/14</c:v>
                </c:pt>
                <c:pt idx="5">
                  <c:v>2014/15</c:v>
                </c:pt>
                <c:pt idx="6">
                  <c:v>2015/16</c:v>
                </c:pt>
                <c:pt idx="7">
                  <c:v>2016/17</c:v>
                </c:pt>
              </c:strCache>
            </c:strRef>
          </c:cat>
          <c:val>
            <c:numRef>
              <c:f>calculations!$AV$373:$BC$373</c:f>
              <c:numCache>
                <c:formatCode>General</c:formatCode>
                <c:ptCount val="8"/>
                <c:pt idx="0">
                  <c:v>3.2779332835476094</c:v>
                </c:pt>
                <c:pt idx="1">
                  <c:v>2.8360267572378461</c:v>
                </c:pt>
                <c:pt idx="2">
                  <c:v>3.5003128956868226</c:v>
                </c:pt>
                <c:pt idx="3">
                  <c:v>3.3633422347303732</c:v>
                </c:pt>
                <c:pt idx="4">
                  <c:v>3.4677004248672576</c:v>
                </c:pt>
                <c:pt idx="5">
                  <c:v>3.5314575947560987</c:v>
                </c:pt>
                <c:pt idx="6">
                  <c:v>4.1312538361874243</c:v>
                </c:pt>
                <c:pt idx="7">
                  <c:v>4.3282888481423933</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calculations!$AV$371:$BC$371</c:f>
              <c:strCache>
                <c:ptCount val="8"/>
                <c:pt idx="0">
                  <c:v>2009/10</c:v>
                </c:pt>
                <c:pt idx="1">
                  <c:v>2010/11</c:v>
                </c:pt>
                <c:pt idx="2">
                  <c:v>2011/12</c:v>
                </c:pt>
                <c:pt idx="3">
                  <c:v>2012/13</c:v>
                </c:pt>
                <c:pt idx="4">
                  <c:v>2013/14</c:v>
                </c:pt>
                <c:pt idx="5">
                  <c:v>2014/15</c:v>
                </c:pt>
                <c:pt idx="6">
                  <c:v>2015/16</c:v>
                </c:pt>
                <c:pt idx="7">
                  <c:v>2016/17</c:v>
                </c:pt>
              </c:strCache>
            </c:strRef>
          </c:cat>
          <c:val>
            <c:numRef>
              <c:f>calculations!$AV$374:$BC$374</c:f>
              <c:numCache>
                <c:formatCode>General</c:formatCode>
                <c:ptCount val="8"/>
                <c:pt idx="0">
                  <c:v>1.8431473032128041</c:v>
                </c:pt>
                <c:pt idx="1">
                  <c:v>2.1381737279524242</c:v>
                </c:pt>
                <c:pt idx="2">
                  <c:v>4.3601978352074804</c:v>
                </c:pt>
                <c:pt idx="3">
                  <c:v>4.0546382588309395</c:v>
                </c:pt>
                <c:pt idx="4">
                  <c:v>4.3887753236958149</c:v>
                </c:pt>
                <c:pt idx="5">
                  <c:v>4.7058848053598084</c:v>
                </c:pt>
                <c:pt idx="6">
                  <c:v>5.4284149730852276</c:v>
                </c:pt>
                <c:pt idx="7">
                  <c:v>5.8251624701664477</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calculations!$AV$371:$BC$371</c:f>
              <c:strCache>
                <c:ptCount val="8"/>
                <c:pt idx="0">
                  <c:v>2009/10</c:v>
                </c:pt>
                <c:pt idx="1">
                  <c:v>2010/11</c:v>
                </c:pt>
                <c:pt idx="2">
                  <c:v>2011/12</c:v>
                </c:pt>
                <c:pt idx="3">
                  <c:v>2012/13</c:v>
                </c:pt>
                <c:pt idx="4">
                  <c:v>2013/14</c:v>
                </c:pt>
                <c:pt idx="5">
                  <c:v>2014/15</c:v>
                </c:pt>
                <c:pt idx="6">
                  <c:v>2015/16</c:v>
                </c:pt>
                <c:pt idx="7">
                  <c:v>2016/17</c:v>
                </c:pt>
              </c:strCache>
            </c:strRef>
          </c:cat>
          <c:val>
            <c:numRef>
              <c:f>calculations!$AV$375:$BC$375</c:f>
              <c:numCache>
                <c:formatCode>General</c:formatCode>
                <c:ptCount val="8"/>
                <c:pt idx="0">
                  <c:v>3.2708152196414528</c:v>
                </c:pt>
                <c:pt idx="1">
                  <c:v>#N/A</c:v>
                </c:pt>
                <c:pt idx="2">
                  <c:v>4.3694870957203529</c:v>
                </c:pt>
                <c:pt idx="3">
                  <c:v>3.4933788284994725</c:v>
                </c:pt>
                <c:pt idx="4">
                  <c:v>4.0420371867421183</c:v>
                </c:pt>
                <c:pt idx="5">
                  <c:v>3.3357447150550597</c:v>
                </c:pt>
                <c:pt idx="6">
                  <c:v>2.5166779850597201</c:v>
                </c:pt>
                <c:pt idx="7">
                  <c:v>3.2756761075380489</c:v>
                </c:pt>
              </c:numCache>
            </c:numRef>
          </c:val>
        </c:ser>
        <c:marker val="1"/>
        <c:axId val="163517952"/>
        <c:axId val="163519488"/>
      </c:lineChart>
      <c:catAx>
        <c:axId val="163517952"/>
        <c:scaling>
          <c:orientation val="minMax"/>
        </c:scaling>
        <c:axPos val="b"/>
        <c:tickLblPos val="nextTo"/>
        <c:crossAx val="163519488"/>
        <c:crosses val="autoZero"/>
        <c:auto val="1"/>
        <c:lblAlgn val="ctr"/>
        <c:lblOffset val="100"/>
      </c:catAx>
      <c:valAx>
        <c:axId val="163519488"/>
        <c:scaling>
          <c:orientation val="minMax"/>
        </c:scaling>
        <c:axPos val="l"/>
        <c:majorGridlines/>
        <c:numFmt formatCode="General" sourceLinked="1"/>
        <c:tickLblPos val="nextTo"/>
        <c:crossAx val="16351795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calculations!$BE$370</c:f>
          <c:strCache>
            <c:ptCount val="1"/>
            <c:pt idx="0">
              <c:v>Housing Association Housebuilding: Permanent Dwellings Completed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calculations!$BE$371:$BL$371</c:f>
              <c:strCache>
                <c:ptCount val="8"/>
                <c:pt idx="0">
                  <c:v>2009/10</c:v>
                </c:pt>
                <c:pt idx="1">
                  <c:v>2010/11</c:v>
                </c:pt>
                <c:pt idx="2">
                  <c:v>2011/12</c:v>
                </c:pt>
                <c:pt idx="3">
                  <c:v>2012/13</c:v>
                </c:pt>
                <c:pt idx="4">
                  <c:v>2013/14</c:v>
                </c:pt>
                <c:pt idx="5">
                  <c:v>2014/15</c:v>
                </c:pt>
                <c:pt idx="6">
                  <c:v>2015/16</c:v>
                </c:pt>
                <c:pt idx="7">
                  <c:v>2016/17</c:v>
                </c:pt>
              </c:strCache>
            </c:strRef>
          </c:cat>
          <c:val>
            <c:numRef>
              <c:f>calculations!$BE$372:$BL$372</c:f>
              <c:numCache>
                <c:formatCode>General</c:formatCode>
                <c:ptCount val="8"/>
                <c:pt idx="0">
                  <c:v>0.90427253600906299</c:v>
                </c:pt>
                <c:pt idx="1">
                  <c:v>1.0319689525916673</c:v>
                </c:pt>
                <c:pt idx="2">
                  <c:v>1.3118205397603235</c:v>
                </c:pt>
                <c:pt idx="3">
                  <c:v>1.0734543841303039</c:v>
                </c:pt>
                <c:pt idx="4">
                  <c:v>1.1720862545354429</c:v>
                </c:pt>
                <c:pt idx="5">
                  <c:v>1.4540153041932555</c:v>
                </c:pt>
                <c:pt idx="6">
                  <c:v>1.3287753249512335</c:v>
                </c:pt>
                <c:pt idx="7">
                  <c:v>1.3809220310176333</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calculations!$BE$371:$BL$371</c:f>
              <c:strCache>
                <c:ptCount val="8"/>
                <c:pt idx="0">
                  <c:v>2009/10</c:v>
                </c:pt>
                <c:pt idx="1">
                  <c:v>2010/11</c:v>
                </c:pt>
                <c:pt idx="2">
                  <c:v>2011/12</c:v>
                </c:pt>
                <c:pt idx="3">
                  <c:v>2012/13</c:v>
                </c:pt>
                <c:pt idx="4">
                  <c:v>2013/14</c:v>
                </c:pt>
                <c:pt idx="5">
                  <c:v>2014/15</c:v>
                </c:pt>
                <c:pt idx="6">
                  <c:v>2015/16</c:v>
                </c:pt>
                <c:pt idx="7">
                  <c:v>2016/17</c:v>
                </c:pt>
              </c:strCache>
            </c:strRef>
          </c:cat>
          <c:val>
            <c:numRef>
              <c:f>calculations!$BE$373:$BL$373</c:f>
              <c:numCache>
                <c:formatCode>General</c:formatCode>
                <c:ptCount val="8"/>
                <c:pt idx="0">
                  <c:v>1.038247255964885</c:v>
                </c:pt>
                <c:pt idx="1">
                  <c:v>0.925081737817809</c:v>
                </c:pt>
                <c:pt idx="2">
                  <c:v>1.1585776599122832</c:v>
                </c:pt>
                <c:pt idx="3">
                  <c:v>0.94877166051031137</c:v>
                </c:pt>
                <c:pt idx="4">
                  <c:v>0.89272742691369411</c:v>
                </c:pt>
                <c:pt idx="5">
                  <c:v>1.0310968088239421</c:v>
                </c:pt>
                <c:pt idx="6">
                  <c:v>1.0091562947825259</c:v>
                </c:pt>
                <c:pt idx="7">
                  <c:v>0.86267631878968665</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calculations!$BE$371:$BL$371</c:f>
              <c:strCache>
                <c:ptCount val="8"/>
                <c:pt idx="0">
                  <c:v>2009/10</c:v>
                </c:pt>
                <c:pt idx="1">
                  <c:v>2010/11</c:v>
                </c:pt>
                <c:pt idx="2">
                  <c:v>2011/12</c:v>
                </c:pt>
                <c:pt idx="3">
                  <c:v>2012/13</c:v>
                </c:pt>
                <c:pt idx="4">
                  <c:v>2013/14</c:v>
                </c:pt>
                <c:pt idx="5">
                  <c:v>2014/15</c:v>
                </c:pt>
                <c:pt idx="6">
                  <c:v>2015/16</c:v>
                </c:pt>
                <c:pt idx="7">
                  <c:v>2016/17</c:v>
                </c:pt>
              </c:strCache>
            </c:strRef>
          </c:cat>
          <c:val>
            <c:numRef>
              <c:f>calculations!$BE$374:$BL$374</c:f>
              <c:numCache>
                <c:formatCode>General</c:formatCode>
                <c:ptCount val="8"/>
                <c:pt idx="0">
                  <c:v>0.36927542348247183</c:v>
                </c:pt>
                <c:pt idx="1">
                  <c:v>0.5679691093260314</c:v>
                </c:pt>
                <c:pt idx="2">
                  <c:v>1.1394763723409118</c:v>
                </c:pt>
                <c:pt idx="3">
                  <c:v>0.97032271157633043</c:v>
                </c:pt>
                <c:pt idx="4">
                  <c:v>0.89498242599062561</c:v>
                </c:pt>
                <c:pt idx="5">
                  <c:v>1.1975773292045233</c:v>
                </c:pt>
                <c:pt idx="6">
                  <c:v>1.2160724064182176</c:v>
                </c:pt>
                <c:pt idx="7">
                  <c:v>1.2925289553349104</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calculations!$BE$371:$BL$371</c:f>
              <c:strCache>
                <c:ptCount val="8"/>
                <c:pt idx="0">
                  <c:v>2009/10</c:v>
                </c:pt>
                <c:pt idx="1">
                  <c:v>2010/11</c:v>
                </c:pt>
                <c:pt idx="2">
                  <c:v>2011/12</c:v>
                </c:pt>
                <c:pt idx="3">
                  <c:v>2012/13</c:v>
                </c:pt>
                <c:pt idx="4">
                  <c:v>2013/14</c:v>
                </c:pt>
                <c:pt idx="5">
                  <c:v>2014/15</c:v>
                </c:pt>
                <c:pt idx="6">
                  <c:v>2015/16</c:v>
                </c:pt>
                <c:pt idx="7">
                  <c:v>2016/17</c:v>
                </c:pt>
              </c:strCache>
            </c:strRef>
          </c:cat>
          <c:val>
            <c:numRef>
              <c:f>calculations!$BE$375:$BL$375</c:f>
              <c:numCache>
                <c:formatCode>General</c:formatCode>
                <c:ptCount val="8"/>
                <c:pt idx="0">
                  <c:v>0.82805448598517783</c:v>
                </c:pt>
                <c:pt idx="1">
                  <c:v>#N/A</c:v>
                </c:pt>
                <c:pt idx="2">
                  <c:v>0.81672655994772947</c:v>
                </c:pt>
                <c:pt idx="3">
                  <c:v>0.73117231294175</c:v>
                </c:pt>
                <c:pt idx="4">
                  <c:v>0.72756669361358139</c:v>
                </c:pt>
                <c:pt idx="5">
                  <c:v>1.0047423840527292</c:v>
                </c:pt>
                <c:pt idx="6">
                  <c:v>0.7989453920824513</c:v>
                </c:pt>
                <c:pt idx="7">
                  <c:v>0.7989453920824513</c:v>
                </c:pt>
              </c:numCache>
            </c:numRef>
          </c:val>
        </c:ser>
        <c:marker val="1"/>
        <c:axId val="163562624"/>
        <c:axId val="163564160"/>
      </c:lineChart>
      <c:catAx>
        <c:axId val="163562624"/>
        <c:scaling>
          <c:orientation val="minMax"/>
        </c:scaling>
        <c:axPos val="b"/>
        <c:tickLblPos val="nextTo"/>
        <c:crossAx val="163564160"/>
        <c:crosses val="autoZero"/>
        <c:auto val="1"/>
        <c:lblAlgn val="ctr"/>
        <c:lblOffset val="100"/>
      </c:catAx>
      <c:valAx>
        <c:axId val="163564160"/>
        <c:scaling>
          <c:orientation val="minMax"/>
        </c:scaling>
        <c:axPos val="l"/>
        <c:majorGridlines/>
        <c:numFmt formatCode="General" sourceLinked="1"/>
        <c:tickLblPos val="nextTo"/>
        <c:crossAx val="16356262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calculations!$BN$370</c:f>
          <c:strCache>
            <c:ptCount val="1"/>
            <c:pt idx="0">
              <c:v>Local Authority Housebuilding: Permanent Dwellings Completed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calculations!$BN$371:$BU$371</c:f>
              <c:strCache>
                <c:ptCount val="8"/>
                <c:pt idx="0">
                  <c:v>2009/10</c:v>
                </c:pt>
                <c:pt idx="1">
                  <c:v>2010/11</c:v>
                </c:pt>
                <c:pt idx="2">
                  <c:v>2011/12</c:v>
                </c:pt>
                <c:pt idx="3">
                  <c:v>2012/13</c:v>
                </c:pt>
                <c:pt idx="4">
                  <c:v>2013/14</c:v>
                </c:pt>
                <c:pt idx="5">
                  <c:v>2014/15</c:v>
                </c:pt>
                <c:pt idx="6">
                  <c:v>2015/16</c:v>
                </c:pt>
                <c:pt idx="7">
                  <c:v>2016/17</c:v>
                </c:pt>
              </c:strCache>
            </c:strRef>
          </c:cat>
          <c:val>
            <c:numRef>
              <c:f>calculations!$BN$372:$BU$372</c:f>
              <c:numCache>
                <c:formatCode>General</c:formatCode>
                <c:ptCount val="8"/>
                <c:pt idx="0">
                  <c:v>4.045962129794467E-3</c:v>
                </c:pt>
                <c:pt idx="1">
                  <c:v>1.0038608488245794E-2</c:v>
                </c:pt>
                <c:pt idx="2">
                  <c:v>4.9841205917945434E-2</c:v>
                </c:pt>
                <c:pt idx="3">
                  <c:v>1.7824888297366677E-2</c:v>
                </c:pt>
                <c:pt idx="4">
                  <c:v>3.9331753507900772E-3</c:v>
                </c:pt>
                <c:pt idx="5">
                  <c:v>3.898164354405511E-2</c:v>
                </c:pt>
                <c:pt idx="6">
                  <c:v>2.3176313807288948E-2</c:v>
                </c:pt>
                <c:pt idx="7">
                  <c:v>5.0215346582459373E-2</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calculations!$BN$371:$BU$371</c:f>
              <c:strCache>
                <c:ptCount val="8"/>
                <c:pt idx="0">
                  <c:v>2009/10</c:v>
                </c:pt>
                <c:pt idx="1">
                  <c:v>2010/11</c:v>
                </c:pt>
                <c:pt idx="2">
                  <c:v>2011/12</c:v>
                </c:pt>
                <c:pt idx="3">
                  <c:v>2012/13</c:v>
                </c:pt>
                <c:pt idx="4">
                  <c:v>2013/14</c:v>
                </c:pt>
                <c:pt idx="5">
                  <c:v>2014/15</c:v>
                </c:pt>
                <c:pt idx="6">
                  <c:v>2015/16</c:v>
                </c:pt>
                <c:pt idx="7">
                  <c:v>2016/17</c:v>
                </c:pt>
              </c:strCache>
            </c:strRef>
          </c:cat>
          <c:val>
            <c:numRef>
              <c:f>calculations!$BN$373:$BU$373</c:f>
              <c:numCache>
                <c:formatCode>General</c:formatCode>
                <c:ptCount val="8"/>
                <c:pt idx="0">
                  <c:v>2.0147100697895576E-2</c:v>
                </c:pt>
                <c:pt idx="1">
                  <c:v>4.809089178547455E-2</c:v>
                </c:pt>
                <c:pt idx="2">
                  <c:v>0.10828449459042551</c:v>
                </c:pt>
                <c:pt idx="3">
                  <c:v>8.395030142155846E-2</c:v>
                </c:pt>
                <c:pt idx="4">
                  <c:v>5.0618565443559964E-2</c:v>
                </c:pt>
                <c:pt idx="5">
                  <c:v>6.9218658477098099E-2</c:v>
                </c:pt>
                <c:pt idx="6">
                  <c:v>0.11018405273797649</c:v>
                </c:pt>
                <c:pt idx="7">
                  <c:v>8.4906534756911303E-2</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calculations!$BN$371:$BU$371</c:f>
              <c:strCache>
                <c:ptCount val="8"/>
                <c:pt idx="0">
                  <c:v>2009/10</c:v>
                </c:pt>
                <c:pt idx="1">
                  <c:v>2010/11</c:v>
                </c:pt>
                <c:pt idx="2">
                  <c:v>2011/12</c:v>
                </c:pt>
                <c:pt idx="3">
                  <c:v>2012/13</c:v>
                </c:pt>
                <c:pt idx="4">
                  <c:v>2013/14</c:v>
                </c:pt>
                <c:pt idx="5">
                  <c:v>2014/15</c:v>
                </c:pt>
                <c:pt idx="6">
                  <c:v>2015/16</c:v>
                </c:pt>
                <c:pt idx="7">
                  <c:v>2016/17</c:v>
                </c:pt>
              </c:strCache>
            </c:strRef>
          </c:cat>
          <c:val>
            <c:numRef>
              <c:f>calculations!$BN$374:$BU$374</c:f>
              <c:numCache>
                <c:formatCode>General</c:formatCode>
                <c:ptCount val="8"/>
                <c:pt idx="0">
                  <c:v>3.2298141995551473E-3</c:v>
                </c:pt>
                <c:pt idx="1">
                  <c:v>3.1019028569594945E-2</c:v>
                </c:pt>
                <c:pt idx="2">
                  <c:v>5.527310761355169E-2</c:v>
                </c:pt>
                <c:pt idx="3">
                  <c:v>3.0652896117335061E-2</c:v>
                </c:pt>
                <c:pt idx="4">
                  <c:v>3.5715261131081311E-2</c:v>
                </c:pt>
                <c:pt idx="5">
                  <c:v>2.501467006171328E-2</c:v>
                </c:pt>
                <c:pt idx="6">
                  <c:v>6.3024993025922904E-2</c:v>
                </c:pt>
                <c:pt idx="7">
                  <c:v>7.7489745523675699E-2</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calculations!$BN$371:$BU$371</c:f>
              <c:strCache>
                <c:ptCount val="8"/>
                <c:pt idx="0">
                  <c:v>2009/10</c:v>
                </c:pt>
                <c:pt idx="1">
                  <c:v>2010/11</c:v>
                </c:pt>
                <c:pt idx="2">
                  <c:v>2011/12</c:v>
                </c:pt>
                <c:pt idx="3">
                  <c:v>2012/13</c:v>
                </c:pt>
                <c:pt idx="4">
                  <c:v>2013/14</c:v>
                </c:pt>
                <c:pt idx="5">
                  <c:v>2014/15</c:v>
                </c:pt>
                <c:pt idx="6">
                  <c:v>2015/16</c:v>
                </c:pt>
                <c:pt idx="7">
                  <c:v>2016/17</c:v>
                </c:pt>
              </c:strCache>
            </c:strRef>
          </c:cat>
          <c:val>
            <c:numRef>
              <c:f>calculations!$BN$375:$BU$375</c:f>
              <c:numCache>
                <c:formatCode>General</c:formatCode>
                <c:ptCount val="8"/>
                <c:pt idx="0">
                  <c:v>0</c:v>
                </c:pt>
                <c:pt idx="1">
                  <c:v>#N/A</c:v>
                </c:pt>
                <c:pt idx="2">
                  <c:v>4.0836327997386485E-2</c:v>
                </c:pt>
                <c:pt idx="3">
                  <c:v>0</c:v>
                </c:pt>
                <c:pt idx="4">
                  <c:v>0</c:v>
                </c:pt>
                <c:pt idx="5">
                  <c:v>0</c:v>
                </c:pt>
                <c:pt idx="6">
                  <c:v>0</c:v>
                </c:pt>
                <c:pt idx="7">
                  <c:v>0</c:v>
                </c:pt>
              </c:numCache>
            </c:numRef>
          </c:val>
        </c:ser>
        <c:marker val="1"/>
        <c:axId val="163615488"/>
        <c:axId val="163617024"/>
      </c:lineChart>
      <c:catAx>
        <c:axId val="163615488"/>
        <c:scaling>
          <c:orientation val="minMax"/>
        </c:scaling>
        <c:axPos val="b"/>
        <c:tickLblPos val="nextTo"/>
        <c:crossAx val="163617024"/>
        <c:crosses val="autoZero"/>
        <c:auto val="1"/>
        <c:lblAlgn val="ctr"/>
        <c:lblOffset val="100"/>
      </c:catAx>
      <c:valAx>
        <c:axId val="163617024"/>
        <c:scaling>
          <c:orientation val="minMax"/>
        </c:scaling>
        <c:axPos val="l"/>
        <c:majorGridlines/>
        <c:numFmt formatCode="General" sourceLinked="1"/>
        <c:tickLblPos val="nextTo"/>
        <c:crossAx val="16361548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calculations!$BW$370</c:f>
          <c:strCache>
            <c:ptCount val="1"/>
            <c:pt idx="0">
              <c:v>Housebuilding: All Permanent Dwellings Completed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calculations!$BW$371:$CD$371</c:f>
              <c:strCache>
                <c:ptCount val="8"/>
                <c:pt idx="0">
                  <c:v>2009/10</c:v>
                </c:pt>
                <c:pt idx="1">
                  <c:v>2010/11</c:v>
                </c:pt>
                <c:pt idx="2">
                  <c:v>2011/12</c:v>
                </c:pt>
                <c:pt idx="3">
                  <c:v>2012/13</c:v>
                </c:pt>
                <c:pt idx="4">
                  <c:v>2013/14</c:v>
                </c:pt>
                <c:pt idx="5">
                  <c:v>2014/15</c:v>
                </c:pt>
                <c:pt idx="6">
                  <c:v>2015/16</c:v>
                </c:pt>
                <c:pt idx="7">
                  <c:v>2016/17</c:v>
                </c:pt>
              </c:strCache>
            </c:strRef>
          </c:cat>
          <c:val>
            <c:numRef>
              <c:f>calculations!$BW$372:$CD$372</c:f>
              <c:numCache>
                <c:formatCode>General</c:formatCode>
                <c:ptCount val="8"/>
                <c:pt idx="0">
                  <c:v>4.8511085936235645</c:v>
                </c:pt>
                <c:pt idx="1">
                  <c:v>5.2762926214219901</c:v>
                </c:pt>
                <c:pt idx="2">
                  <c:v>6.0427478054917039</c:v>
                </c:pt>
                <c:pt idx="3">
                  <c:v>5.6009760116614373</c:v>
                </c:pt>
                <c:pt idx="4">
                  <c:v>6.1101879074523833</c:v>
                </c:pt>
                <c:pt idx="5">
                  <c:v>7.0868627963092186</c:v>
                </c:pt>
                <c:pt idx="6">
                  <c:v>7.4434594511076364</c:v>
                </c:pt>
                <c:pt idx="7">
                  <c:v>8.1503370222299516</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calculations!$BW$371:$CD$371</c:f>
              <c:strCache>
                <c:ptCount val="8"/>
                <c:pt idx="0">
                  <c:v>2009/10</c:v>
                </c:pt>
                <c:pt idx="1">
                  <c:v>2010/11</c:v>
                </c:pt>
                <c:pt idx="2">
                  <c:v>2011/12</c:v>
                </c:pt>
                <c:pt idx="3">
                  <c:v>2012/13</c:v>
                </c:pt>
                <c:pt idx="4">
                  <c:v>2013/14</c:v>
                </c:pt>
                <c:pt idx="5">
                  <c:v>2014/15</c:v>
                </c:pt>
                <c:pt idx="6">
                  <c:v>2015/16</c:v>
                </c:pt>
                <c:pt idx="7">
                  <c:v>2016/17</c:v>
                </c:pt>
              </c:strCache>
            </c:strRef>
          </c:cat>
          <c:val>
            <c:numRef>
              <c:f>calculations!$BW$373:$CD$373</c:f>
              <c:numCache>
                <c:formatCode>General</c:formatCode>
                <c:ptCount val="8"/>
                <c:pt idx="0">
                  <c:v>4.3255825198381777</c:v>
                </c:pt>
                <c:pt idx="1">
                  <c:v>3.853950633363723</c:v>
                </c:pt>
                <c:pt idx="2">
                  <c:v>4.7638534399260211</c:v>
                </c:pt>
                <c:pt idx="3">
                  <c:v>4.3880689298601894</c:v>
                </c:pt>
                <c:pt idx="4">
                  <c:v>4.4097316492909115</c:v>
                </c:pt>
                <c:pt idx="5">
                  <c:v>4.62785502478485</c:v>
                </c:pt>
                <c:pt idx="6">
                  <c:v>5.242816485867599</c:v>
                </c:pt>
                <c:pt idx="7">
                  <c:v>5.2726309942555227</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calculations!$BW$371:$CD$371</c:f>
              <c:strCache>
                <c:ptCount val="8"/>
                <c:pt idx="0">
                  <c:v>2009/10</c:v>
                </c:pt>
                <c:pt idx="1">
                  <c:v>2010/11</c:v>
                </c:pt>
                <c:pt idx="2">
                  <c:v>2011/12</c:v>
                </c:pt>
                <c:pt idx="3">
                  <c:v>2012/13</c:v>
                </c:pt>
                <c:pt idx="4">
                  <c:v>2013/14</c:v>
                </c:pt>
                <c:pt idx="5">
                  <c:v>2014/15</c:v>
                </c:pt>
                <c:pt idx="6">
                  <c:v>2015/16</c:v>
                </c:pt>
                <c:pt idx="7">
                  <c:v>2016/17</c:v>
                </c:pt>
              </c:strCache>
            </c:strRef>
          </c:cat>
          <c:val>
            <c:numRef>
              <c:f>calculations!$BW$374:$CD$374</c:f>
              <c:numCache>
                <c:formatCode>General</c:formatCode>
                <c:ptCount val="8"/>
                <c:pt idx="0">
                  <c:v>2.2888616627514149</c:v>
                </c:pt>
                <c:pt idx="1">
                  <c:v>2.923276037265619</c:v>
                </c:pt>
                <c:pt idx="2">
                  <c:v>5.5570732039163113</c:v>
                </c:pt>
                <c:pt idx="3">
                  <c:v>5.0587848557781241</c:v>
                </c:pt>
                <c:pt idx="4">
                  <c:v>5.3142207665335395</c:v>
                </c:pt>
                <c:pt idx="5">
                  <c:v>5.927434526706806</c:v>
                </c:pt>
                <c:pt idx="6">
                  <c:v>6.710611962350316</c:v>
                </c:pt>
                <c:pt idx="7">
                  <c:v>7.1920815812040866</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calculations!$BW$371:$CD$371</c:f>
              <c:strCache>
                <c:ptCount val="8"/>
                <c:pt idx="0">
                  <c:v>2009/10</c:v>
                </c:pt>
                <c:pt idx="1">
                  <c:v>2010/11</c:v>
                </c:pt>
                <c:pt idx="2">
                  <c:v>2011/12</c:v>
                </c:pt>
                <c:pt idx="3">
                  <c:v>2012/13</c:v>
                </c:pt>
                <c:pt idx="4">
                  <c:v>2013/14</c:v>
                </c:pt>
                <c:pt idx="5">
                  <c:v>2014/15</c:v>
                </c:pt>
                <c:pt idx="6">
                  <c:v>2015/16</c:v>
                </c:pt>
                <c:pt idx="7">
                  <c:v>2016/17</c:v>
                </c:pt>
              </c:strCache>
            </c:strRef>
          </c:cat>
          <c:val>
            <c:numRef>
              <c:f>calculations!$BW$375:$CD$375</c:f>
              <c:numCache>
                <c:formatCode>General</c:formatCode>
                <c:ptCount val="8"/>
                <c:pt idx="0">
                  <c:v>4.0988697056266314</c:v>
                </c:pt>
                <c:pt idx="1">
                  <c:v>#N/A</c:v>
                </c:pt>
                <c:pt idx="2">
                  <c:v>5.2270499836654682</c:v>
                </c:pt>
                <c:pt idx="3">
                  <c:v>4.2245511414412205</c:v>
                </c:pt>
                <c:pt idx="4">
                  <c:v>4.7291835084882772</c:v>
                </c:pt>
                <c:pt idx="5">
                  <c:v>4.3404870991077873</c:v>
                </c:pt>
                <c:pt idx="6">
                  <c:v>3.3156233771421721</c:v>
                </c:pt>
                <c:pt idx="7">
                  <c:v>4.0746214996205019</c:v>
                </c:pt>
              </c:numCache>
            </c:numRef>
          </c:val>
        </c:ser>
        <c:marker val="1"/>
        <c:axId val="163647872"/>
        <c:axId val="163649408"/>
      </c:lineChart>
      <c:catAx>
        <c:axId val="163647872"/>
        <c:scaling>
          <c:orientation val="minMax"/>
        </c:scaling>
        <c:axPos val="b"/>
        <c:tickLblPos val="nextTo"/>
        <c:crossAx val="163649408"/>
        <c:crosses val="autoZero"/>
        <c:auto val="1"/>
        <c:lblAlgn val="ctr"/>
        <c:lblOffset val="100"/>
      </c:catAx>
      <c:valAx>
        <c:axId val="163649408"/>
        <c:scaling>
          <c:orientation val="minMax"/>
        </c:scaling>
        <c:axPos val="l"/>
        <c:majorGridlines/>
        <c:numFmt formatCode="General" sourceLinked="1"/>
        <c:tickLblPos val="nextTo"/>
        <c:crossAx val="16364787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calculations!$I$370</c:f>
          <c:strCache>
            <c:ptCount val="1"/>
            <c:pt idx="0">
              <c:v>Housing supply: New Builds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calculations!$I$371:$M$371</c:f>
              <c:strCache>
                <c:ptCount val="5"/>
                <c:pt idx="0">
                  <c:v>2012/13</c:v>
                </c:pt>
                <c:pt idx="1">
                  <c:v>2013/14</c:v>
                </c:pt>
                <c:pt idx="2">
                  <c:v>2014/15</c:v>
                </c:pt>
                <c:pt idx="3">
                  <c:v>2015/16</c:v>
                </c:pt>
                <c:pt idx="4">
                  <c:v>2016/17</c:v>
                </c:pt>
              </c:strCache>
            </c:strRef>
          </c:cat>
          <c:val>
            <c:numRef>
              <c:f>calculations!$I$372:$M$372</c:f>
              <c:numCache>
                <c:formatCode>General</c:formatCode>
                <c:ptCount val="5"/>
                <c:pt idx="0">
                  <c:v>5.847370278293357</c:v>
                </c:pt>
                <c:pt idx="1">
                  <c:v>6.6011502994581237</c:v>
                </c:pt>
                <c:pt idx="2">
                  <c:v>8.1947708433711242</c:v>
                </c:pt>
                <c:pt idx="3">
                  <c:v>8.2056359660235998</c:v>
                </c:pt>
                <c:pt idx="4">
                  <c:v>9.2168337292620279</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calculations!$I$371:$M$371</c:f>
              <c:strCache>
                <c:ptCount val="5"/>
                <c:pt idx="0">
                  <c:v>2012/13</c:v>
                </c:pt>
                <c:pt idx="1">
                  <c:v>2013/14</c:v>
                </c:pt>
                <c:pt idx="2">
                  <c:v>2014/15</c:v>
                </c:pt>
                <c:pt idx="3">
                  <c:v>2015/16</c:v>
                </c:pt>
                <c:pt idx="4">
                  <c:v>2016/17</c:v>
                </c:pt>
              </c:strCache>
            </c:strRef>
          </c:cat>
          <c:val>
            <c:numRef>
              <c:f>calculations!$I$373:$M$373</c:f>
              <c:numCache>
                <c:formatCode>General</c:formatCode>
                <c:ptCount val="5"/>
                <c:pt idx="0">
                  <c:v>4.941227427997454</c:v>
                </c:pt>
                <c:pt idx="1">
                  <c:v>5.3521648517411027</c:v>
                </c:pt>
                <c:pt idx="2">
                  <c:v>6.0762000051275953</c:v>
                </c:pt>
                <c:pt idx="3">
                  <c:v>6.4210100830689205</c:v>
                </c:pt>
                <c:pt idx="4">
                  <c:v>7.0699273368579272</c:v>
                </c:pt>
              </c:numCache>
            </c:numRef>
          </c:val>
        </c:ser>
        <c:ser>
          <c:idx val="2"/>
          <c:order val="2"/>
          <c:tx>
            <c:strRef>
              <c:f>calculations!$A$374</c:f>
              <c:strCache>
                <c:ptCount val="1"/>
                <c:pt idx="0">
                  <c:v>Shire county average</c:v>
                </c:pt>
              </c:strCache>
            </c:strRef>
          </c:tx>
          <c:spPr>
            <a:ln>
              <a:solidFill>
                <a:schemeClr val="accent1">
                  <a:lumMod val="60000"/>
                  <a:lumOff val="40000"/>
                </a:schemeClr>
              </a:solidFill>
              <a:prstDash val="sysDot"/>
            </a:ln>
          </c:spPr>
          <c:marker>
            <c:symbol val="none"/>
          </c:marker>
          <c:cat>
            <c:strRef>
              <c:f>calculations!$I$371:$M$371</c:f>
              <c:strCache>
                <c:ptCount val="5"/>
                <c:pt idx="0">
                  <c:v>2012/13</c:v>
                </c:pt>
                <c:pt idx="1">
                  <c:v>2013/14</c:v>
                </c:pt>
                <c:pt idx="2">
                  <c:v>2014/15</c:v>
                </c:pt>
                <c:pt idx="3">
                  <c:v>2015/16</c:v>
                </c:pt>
                <c:pt idx="4">
                  <c:v>2016/17</c:v>
                </c:pt>
              </c:strCache>
            </c:strRef>
          </c:cat>
          <c:val>
            <c:numRef>
              <c:f>calculations!$I$374:$M$374</c:f>
              <c:numCache>
                <c:formatCode>General</c:formatCode>
                <c:ptCount val="5"/>
                <c:pt idx="0">
                  <c:v>5.2573228895505126</c:v>
                </c:pt>
                <c:pt idx="1">
                  <c:v>5.8980400115424008</c:v>
                </c:pt>
                <c:pt idx="2">
                  <c:v>7.0905297833764367</c:v>
                </c:pt>
                <c:pt idx="3">
                  <c:v>7.6440662596918818</c:v>
                </c:pt>
                <c:pt idx="4">
                  <c:v>8.122681765113084</c:v>
                </c:pt>
              </c:numCache>
            </c:numRef>
          </c:val>
        </c:ser>
        <c:ser>
          <c:idx val="3"/>
          <c:order val="3"/>
          <c:tx>
            <c:strRef>
              <c:f>calculations!$A$375</c:f>
              <c:strCache>
                <c:ptCount val="1"/>
                <c:pt idx="0">
                  <c:v>East Sussex</c:v>
                </c:pt>
              </c:strCache>
            </c:strRef>
          </c:tx>
          <c:spPr>
            <a:ln>
              <a:solidFill>
                <a:schemeClr val="tx1"/>
              </a:solidFill>
            </a:ln>
          </c:spPr>
          <c:marker>
            <c:symbol val="none"/>
          </c:marker>
          <c:cat>
            <c:strRef>
              <c:f>calculations!$I$371:$M$371</c:f>
              <c:strCache>
                <c:ptCount val="5"/>
                <c:pt idx="0">
                  <c:v>2012/13</c:v>
                </c:pt>
                <c:pt idx="1">
                  <c:v>2013/14</c:v>
                </c:pt>
                <c:pt idx="2">
                  <c:v>2014/15</c:v>
                </c:pt>
                <c:pt idx="3">
                  <c:v>2015/16</c:v>
                </c:pt>
                <c:pt idx="4">
                  <c:v>2016/17</c:v>
                </c:pt>
              </c:strCache>
            </c:strRef>
          </c:cat>
          <c:val>
            <c:numRef>
              <c:f>calculations!$I$375:$M$375</c:f>
              <c:numCache>
                <c:formatCode>General</c:formatCode>
                <c:ptCount val="5"/>
                <c:pt idx="0">
                  <c:v>3.6344331917673962</c:v>
                </c:pt>
                <c:pt idx="1">
                  <c:v>4.0214477211796247</c:v>
                </c:pt>
                <c:pt idx="2">
                  <c:v>4.7291835084882781</c:v>
                </c:pt>
                <c:pt idx="3">
                  <c:v>4.4610561851941162</c:v>
                </c:pt>
                <c:pt idx="4">
                  <c:v>4.3582471138097718</c:v>
                </c:pt>
              </c:numCache>
            </c:numRef>
          </c:val>
        </c:ser>
        <c:marker val="1"/>
        <c:axId val="163684352"/>
        <c:axId val="163685888"/>
      </c:lineChart>
      <c:catAx>
        <c:axId val="163684352"/>
        <c:scaling>
          <c:orientation val="minMax"/>
        </c:scaling>
        <c:axPos val="b"/>
        <c:tickLblPos val="nextTo"/>
        <c:crossAx val="163685888"/>
        <c:crosses val="autoZero"/>
        <c:auto val="1"/>
        <c:lblAlgn val="ctr"/>
        <c:lblOffset val="100"/>
      </c:catAx>
      <c:valAx>
        <c:axId val="163685888"/>
        <c:scaling>
          <c:orientation val="minMax"/>
        </c:scaling>
        <c:axPos val="l"/>
        <c:majorGridlines/>
        <c:numFmt formatCode="General" sourceLinked="1"/>
        <c:tickLblPos val="nextTo"/>
        <c:crossAx val="16368435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6F501-9764-4FC6-A999-5A02FBF7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2018-04-30T15:46:00Z</dcterms:created>
  <dcterms:modified xsi:type="dcterms:W3CDTF">2018-05-01T12:53:00Z</dcterms:modified>
</cp:coreProperties>
</file>