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71796C">
      <w:r w:rsidRPr="0071796C">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C33B77" w:rsidP="004D3814">
                  <w:pPr>
                    <w:jc w:val="right"/>
                    <w:rPr>
                      <w:rFonts w:ascii="Segoe UI" w:hAnsi="Segoe UI" w:cs="Segoe UI"/>
                      <w:b/>
                      <w:sz w:val="72"/>
                      <w:szCs w:val="72"/>
                      <w:u w:val="single"/>
                    </w:rPr>
                  </w:pPr>
                  <w:r>
                    <w:rPr>
                      <w:rFonts w:ascii="Segoe UI" w:hAnsi="Segoe UI" w:cs="Segoe UI"/>
                      <w:b/>
                      <w:sz w:val="72"/>
                      <w:szCs w:val="72"/>
                      <w:u w:val="single"/>
                    </w:rPr>
                    <w:t>Hampshire</w:t>
                  </w:r>
                  <w:r w:rsidR="00A769A7">
                    <w:rPr>
                      <w:rFonts w:ascii="Segoe UI" w:hAnsi="Segoe UI" w:cs="Segoe UI"/>
                      <w:b/>
                      <w:sz w:val="72"/>
                      <w:szCs w:val="72"/>
                      <w:u w:val="single"/>
                    </w:rPr>
                    <w:t xml:space="preserve">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71796C"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71796C"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71796C"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71796C"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71796C"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C33B77">
      <w:pPr>
        <w:rPr>
          <w:rFonts w:ascii="Segoe UI" w:hAnsi="Segoe UI" w:cs="Segoe UI"/>
        </w:rPr>
      </w:pPr>
      <w:r>
        <w:rPr>
          <w:rFonts w:ascii="Segoe UI" w:hAnsi="Segoe UI" w:cs="Segoe UI"/>
        </w:rPr>
        <w:t>Hampshire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4,320</w:t>
      </w:r>
      <w:r w:rsidR="00FA4ACC">
        <w:rPr>
          <w:rFonts w:ascii="Segoe UI" w:hAnsi="Segoe UI" w:cs="Segoe UI"/>
        </w:rPr>
        <w:t xml:space="preserve">, made up of </w:t>
      </w:r>
      <w:r w:rsidR="00FB162E">
        <w:rPr>
          <w:rFonts w:ascii="Segoe UI" w:hAnsi="Segoe UI" w:cs="Segoe UI"/>
        </w:rPr>
        <w:t>3</w:t>
      </w:r>
      <w:r>
        <w:rPr>
          <w:rFonts w:ascii="Segoe UI" w:hAnsi="Segoe UI" w:cs="Segoe UI"/>
        </w:rPr>
        <w:t>,120</w:t>
      </w:r>
      <w:r w:rsidR="00FA4ACC">
        <w:rPr>
          <w:rFonts w:ascii="Segoe UI" w:hAnsi="Segoe UI" w:cs="Segoe UI"/>
        </w:rPr>
        <w:t xml:space="preserve"> private enterprise builds</w:t>
      </w:r>
      <w:r w:rsidR="00FB162E">
        <w:rPr>
          <w:rFonts w:ascii="Segoe UI" w:hAnsi="Segoe UI" w:cs="Segoe UI"/>
        </w:rPr>
        <w:t xml:space="preserve">, </w:t>
      </w:r>
      <w:r>
        <w:rPr>
          <w:rFonts w:ascii="Segoe UI" w:hAnsi="Segoe UI" w:cs="Segoe UI"/>
        </w:rPr>
        <w:t>1,19</w:t>
      </w:r>
      <w:r w:rsidR="00A769A7">
        <w:rPr>
          <w:rFonts w:ascii="Segoe UI" w:hAnsi="Segoe UI" w:cs="Segoe UI"/>
        </w:rPr>
        <w:t>0</w:t>
      </w:r>
      <w:r w:rsidR="003A5C91">
        <w:rPr>
          <w:rFonts w:ascii="Segoe UI" w:hAnsi="Segoe UI" w:cs="Segoe UI"/>
        </w:rPr>
        <w:t xml:space="preserve"> housing association builds</w:t>
      </w:r>
      <w:r>
        <w:rPr>
          <w:rFonts w:ascii="Segoe UI" w:hAnsi="Segoe UI" w:cs="Segoe UI"/>
        </w:rPr>
        <w:t xml:space="preserve"> and 1</w:t>
      </w:r>
      <w:r w:rsidR="00FB162E">
        <w:rPr>
          <w:rFonts w:ascii="Segoe UI" w:hAnsi="Segoe UI" w:cs="Segoe UI"/>
        </w:rPr>
        <w:t>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582,410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694CD3">
        <w:rPr>
          <w:rFonts w:ascii="Segoe UI" w:hAnsi="Segoe UI" w:cs="Segoe UI"/>
        </w:rPr>
        <w:t>Hampshire</w:t>
      </w:r>
      <w:r w:rsidR="002651E1">
        <w:rPr>
          <w:rFonts w:ascii="Segoe UI" w:hAnsi="Segoe UI" w:cs="Segoe UI"/>
        </w:rPr>
        <w:t xml:space="preserve"> </w:t>
      </w:r>
      <w:r w:rsidR="00465750">
        <w:rPr>
          <w:rFonts w:ascii="Segoe UI" w:hAnsi="Segoe UI" w:cs="Segoe UI"/>
        </w:rPr>
        <w:t xml:space="preserve">had net additions of </w:t>
      </w:r>
      <w:r w:rsidR="00694CD3">
        <w:rPr>
          <w:rFonts w:ascii="Segoe UI" w:hAnsi="Segoe UI" w:cs="Segoe UI"/>
        </w:rPr>
        <w:t>5,530</w:t>
      </w:r>
      <w:r w:rsidR="004A44E1">
        <w:rPr>
          <w:rFonts w:ascii="Segoe UI" w:hAnsi="Segoe UI" w:cs="Segoe UI"/>
        </w:rPr>
        <w:t xml:space="preserve"> dwellings</w:t>
      </w:r>
      <w:r w:rsidR="00465750">
        <w:rPr>
          <w:rFonts w:ascii="Segoe UI" w:hAnsi="Segoe UI" w:cs="Segoe UI"/>
        </w:rPr>
        <w:t xml:space="preserve"> comprised of </w:t>
      </w:r>
      <w:r w:rsidR="00694CD3">
        <w:rPr>
          <w:rFonts w:ascii="Segoe UI" w:hAnsi="Segoe UI" w:cs="Segoe UI"/>
        </w:rPr>
        <w:t>5,005</w:t>
      </w:r>
      <w:r w:rsidR="00465750">
        <w:rPr>
          <w:rFonts w:ascii="Segoe UI" w:hAnsi="Segoe UI" w:cs="Segoe UI"/>
        </w:rPr>
        <w:t xml:space="preserve"> new builds, </w:t>
      </w:r>
      <w:r w:rsidR="00694CD3">
        <w:rPr>
          <w:rFonts w:ascii="Segoe UI" w:hAnsi="Segoe UI" w:cs="Segoe UI"/>
        </w:rPr>
        <w:t>13</w:t>
      </w:r>
      <w:r w:rsidR="004A44E1">
        <w:rPr>
          <w:rFonts w:ascii="Segoe UI" w:hAnsi="Segoe UI" w:cs="Segoe UI"/>
        </w:rPr>
        <w:t>0</w:t>
      </w:r>
      <w:r w:rsidR="00465750">
        <w:rPr>
          <w:rFonts w:ascii="Segoe UI" w:hAnsi="Segoe UI" w:cs="Segoe UI"/>
        </w:rPr>
        <w:t xml:space="preserve"> conversations, </w:t>
      </w:r>
      <w:r w:rsidR="00694CD3">
        <w:rPr>
          <w:rFonts w:ascii="Segoe UI" w:hAnsi="Segoe UI" w:cs="Segoe UI"/>
        </w:rPr>
        <w:t>585</w:t>
      </w:r>
      <w:r w:rsidR="00465750">
        <w:rPr>
          <w:rFonts w:ascii="Segoe UI" w:hAnsi="Segoe UI" w:cs="Segoe UI"/>
        </w:rPr>
        <w:t xml:space="preserve"> change of use, and </w:t>
      </w:r>
      <w:r>
        <w:rPr>
          <w:rFonts w:ascii="Segoe UI" w:hAnsi="Segoe UI" w:cs="Segoe UI"/>
        </w:rPr>
        <w:t>2</w:t>
      </w:r>
      <w:r w:rsidR="00694CD3">
        <w:rPr>
          <w:rFonts w:ascii="Segoe UI" w:hAnsi="Segoe UI" w:cs="Segoe UI"/>
        </w:rPr>
        <w:t>19</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694CD3">
        <w:rPr>
          <w:rFonts w:ascii="Segoe UI" w:hAnsi="Segoe UI" w:cs="Segoe UI"/>
        </w:rPr>
        <w:t>Hampshire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694CD3">
        <w:rPr>
          <w:rFonts w:ascii="Segoe UI" w:hAnsi="Segoe UI" w:cs="Segoe UI"/>
        </w:rPr>
        <w:t>1.2</w:t>
      </w:r>
      <w:r>
        <w:rPr>
          <w:rFonts w:ascii="Segoe UI" w:hAnsi="Segoe UI" w:cs="Segoe UI"/>
        </w:rPr>
        <w:t>, the number of households accommodated in temporary accommodat</w:t>
      </w:r>
      <w:r w:rsidR="009579D3">
        <w:rPr>
          <w:rFonts w:ascii="Segoe UI" w:hAnsi="Segoe UI" w:cs="Segoe UI"/>
        </w:rPr>
        <w:t xml:space="preserve">ion per 1,000 households was </w:t>
      </w:r>
      <w:r w:rsidR="00694CD3">
        <w:rPr>
          <w:rFonts w:ascii="Segoe UI" w:hAnsi="Segoe UI" w:cs="Segoe UI"/>
        </w:rPr>
        <w:t>1.9</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94CD3"/>
    <w:rsid w:val="006A3967"/>
    <w:rsid w:val="006A58A6"/>
    <w:rsid w:val="006E0A15"/>
    <w:rsid w:val="006E2E60"/>
    <w:rsid w:val="006E4A43"/>
    <w:rsid w:val="006F1643"/>
    <w:rsid w:val="006F4FD3"/>
    <w:rsid w:val="006F75BA"/>
    <w:rsid w:val="0070182B"/>
    <w:rsid w:val="00707CEB"/>
    <w:rsid w:val="007125E1"/>
    <w:rsid w:val="00715D9D"/>
    <w:rsid w:val="0071796C"/>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E1B8F"/>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9A7"/>
    <w:rsid w:val="00A76BD8"/>
    <w:rsid w:val="00AA4EAF"/>
    <w:rsid w:val="00AB2003"/>
    <w:rsid w:val="00AC05B9"/>
    <w:rsid w:val="00AC18BA"/>
    <w:rsid w:val="00AE2392"/>
    <w:rsid w:val="00AE3362"/>
    <w:rsid w:val="00AE3AC8"/>
    <w:rsid w:val="00AF0048"/>
    <w:rsid w:val="00B03243"/>
    <w:rsid w:val="00B4609A"/>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B77"/>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2F97"/>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B162E"/>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Hampshire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#N/A</c:v>
                </c:pt>
                <c:pt idx="2">
                  <c:v>4.1948674562887751</c:v>
                </c:pt>
                <c:pt idx="3">
                  <c:v>4.9791367158736302</c:v>
                </c:pt>
                <c:pt idx="4">
                  <c:v>5.3697827678789345</c:v>
                </c:pt>
                <c:pt idx="5">
                  <c:v>5.5934610189450344</c:v>
                </c:pt>
                <c:pt idx="6">
                  <c:v>5.3055407702477622</c:v>
                </c:pt>
                <c:pt idx="7">
                  <c:v>5.7691317113373737</c:v>
                </c:pt>
              </c:numCache>
            </c:numRef>
          </c:val>
        </c:ser>
        <c:marker val="1"/>
        <c:axId val="148404864"/>
        <c:axId val="148472192"/>
      </c:lineChart>
      <c:catAx>
        <c:axId val="148404864"/>
        <c:scaling>
          <c:orientation val="minMax"/>
        </c:scaling>
        <c:axPos val="b"/>
        <c:tickLblPos val="nextTo"/>
        <c:txPr>
          <a:bodyPr/>
          <a:lstStyle/>
          <a:p>
            <a:pPr>
              <a:defRPr sz="1000"/>
            </a:pPr>
            <a:endParaRPr lang="en-US"/>
          </a:p>
        </c:txPr>
        <c:crossAx val="148472192"/>
        <c:crosses val="autoZero"/>
        <c:auto val="1"/>
        <c:lblAlgn val="ctr"/>
        <c:lblOffset val="100"/>
      </c:catAx>
      <c:valAx>
        <c:axId val="148472192"/>
        <c:scaling>
          <c:orientation val="minMax"/>
        </c:scaling>
        <c:axPos val="l"/>
        <c:majorGridlines/>
        <c:numFmt formatCode="General" sourceLinked="1"/>
        <c:tickLblPos val="nextTo"/>
        <c:crossAx val="148404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Hampshire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0.14100394811054712</c:v>
                </c:pt>
                <c:pt idx="1">
                  <c:v>5.2596514604298886E-2</c:v>
                </c:pt>
                <c:pt idx="2">
                  <c:v>-3.4868719271941143E-2</c:v>
                </c:pt>
                <c:pt idx="3">
                  <c:v>1.7317216776919612E-2</c:v>
                </c:pt>
                <c:pt idx="4">
                  <c:v>0.22321045311721982</c:v>
                </c:pt>
              </c:numCache>
            </c:numRef>
          </c:val>
        </c:ser>
        <c:marker val="1"/>
        <c:axId val="149437440"/>
        <c:axId val="149447424"/>
      </c:lineChart>
      <c:catAx>
        <c:axId val="149437440"/>
        <c:scaling>
          <c:orientation val="minMax"/>
        </c:scaling>
        <c:axPos val="b"/>
        <c:tickLblPos val="nextTo"/>
        <c:crossAx val="149447424"/>
        <c:crosses val="autoZero"/>
        <c:auto val="1"/>
        <c:lblAlgn val="ctr"/>
        <c:lblOffset val="100"/>
      </c:catAx>
      <c:valAx>
        <c:axId val="149447424"/>
        <c:scaling>
          <c:orientation val="minMax"/>
        </c:scaling>
        <c:axPos val="l"/>
        <c:majorGridlines/>
        <c:numFmt formatCode="General" sourceLinked="1"/>
        <c:tickLblPos val="nextTo"/>
        <c:crossAx val="149437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Hampshire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0.26438240270727581</c:v>
                </c:pt>
                <c:pt idx="1">
                  <c:v>0.42077211683439109</c:v>
                </c:pt>
                <c:pt idx="2">
                  <c:v>0.5753338679870289</c:v>
                </c:pt>
                <c:pt idx="3">
                  <c:v>1.5065978595920064</c:v>
                </c:pt>
                <c:pt idx="4">
                  <c:v>1.0044470390274893</c:v>
                </c:pt>
              </c:numCache>
            </c:numRef>
          </c:val>
        </c:ser>
        <c:marker val="1"/>
        <c:axId val="149367424"/>
        <c:axId val="149377408"/>
      </c:lineChart>
      <c:catAx>
        <c:axId val="149367424"/>
        <c:scaling>
          <c:orientation val="minMax"/>
        </c:scaling>
        <c:axPos val="b"/>
        <c:tickLblPos val="nextTo"/>
        <c:crossAx val="149377408"/>
        <c:crosses val="autoZero"/>
        <c:auto val="1"/>
        <c:lblAlgn val="ctr"/>
        <c:lblOffset val="100"/>
      </c:catAx>
      <c:valAx>
        <c:axId val="149377408"/>
        <c:scaling>
          <c:orientation val="minMax"/>
        </c:scaling>
        <c:axPos val="l"/>
        <c:majorGridlines/>
        <c:numFmt formatCode="General" sourceLinked="1"/>
        <c:tickLblPos val="nextTo"/>
        <c:crossAx val="149367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Hampshire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3.5250987027636779E-2</c:v>
                </c:pt>
                <c:pt idx="1">
                  <c:v>1.7532171534766293E-2</c:v>
                </c:pt>
                <c:pt idx="2">
                  <c:v>-1.7434359635970571E-2</c:v>
                </c:pt>
                <c:pt idx="3">
                  <c:v>0.29439268520763345</c:v>
                </c:pt>
                <c:pt idx="4">
                  <c:v>4.979310107999519E-2</c:v>
                </c:pt>
              </c:numCache>
            </c:numRef>
          </c:val>
        </c:ser>
        <c:marker val="1"/>
        <c:axId val="149403904"/>
        <c:axId val="149622784"/>
      </c:lineChart>
      <c:catAx>
        <c:axId val="149403904"/>
        <c:scaling>
          <c:orientation val="minMax"/>
        </c:scaling>
        <c:axPos val="b"/>
        <c:tickLblPos val="nextTo"/>
        <c:crossAx val="149622784"/>
        <c:crosses val="autoZero"/>
        <c:auto val="1"/>
        <c:lblAlgn val="ctr"/>
        <c:lblOffset val="100"/>
      </c:catAx>
      <c:valAx>
        <c:axId val="149622784"/>
        <c:scaling>
          <c:orientation val="minMax"/>
        </c:scaling>
        <c:axPos val="l"/>
        <c:majorGridlines/>
        <c:numFmt formatCode="General" sourceLinked="1"/>
        <c:tickLblPos val="nextTo"/>
        <c:crossAx val="149403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Hampshire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0.84602368866328259</c:v>
                </c:pt>
                <c:pt idx="1">
                  <c:v>1.0694624636207439</c:v>
                </c:pt>
                <c:pt idx="2">
                  <c:v>1.0460615781582343</c:v>
                </c:pt>
                <c:pt idx="3">
                  <c:v>0.4848820697537492</c:v>
                </c:pt>
                <c:pt idx="4">
                  <c:v>0.37602376332823956</c:v>
                </c:pt>
              </c:numCache>
            </c:numRef>
          </c:val>
        </c:ser>
        <c:marker val="1"/>
        <c:axId val="149632896"/>
        <c:axId val="149634432"/>
      </c:lineChart>
      <c:catAx>
        <c:axId val="149632896"/>
        <c:scaling>
          <c:orientation val="minMax"/>
        </c:scaling>
        <c:axPos val="b"/>
        <c:tickLblPos val="nextTo"/>
        <c:crossAx val="149634432"/>
        <c:crosses val="autoZero"/>
        <c:auto val="1"/>
        <c:lblAlgn val="ctr"/>
        <c:lblOffset val="100"/>
      </c:catAx>
      <c:valAx>
        <c:axId val="149634432"/>
        <c:scaling>
          <c:orientation val="minMax"/>
        </c:scaling>
        <c:axPos val="l"/>
        <c:majorGridlines/>
        <c:numFmt formatCode="General" sourceLinked="1"/>
        <c:tickLblPos val="nextTo"/>
        <c:crossAx val="1496328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Hampshire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5.3228990411731525</c:v>
                </c:pt>
                <c:pt idx="1">
                  <c:v>5.6278270626599811</c:v>
                </c:pt>
                <c:pt idx="2">
                  <c:v>6.7645315387565814</c:v>
                </c:pt>
                <c:pt idx="3">
                  <c:v>8.57202230457521</c:v>
                </c:pt>
                <c:pt idx="4">
                  <c:v>9.4950292749094292</c:v>
                </c:pt>
              </c:numCache>
            </c:numRef>
          </c:val>
        </c:ser>
        <c:marker val="1"/>
        <c:axId val="149681664"/>
        <c:axId val="149683200"/>
      </c:lineChart>
      <c:catAx>
        <c:axId val="149681664"/>
        <c:scaling>
          <c:orientation val="minMax"/>
        </c:scaling>
        <c:axPos val="b"/>
        <c:tickLblPos val="nextTo"/>
        <c:crossAx val="149683200"/>
        <c:crosses val="autoZero"/>
        <c:auto val="1"/>
        <c:lblAlgn val="ctr"/>
        <c:lblOffset val="100"/>
      </c:catAx>
      <c:valAx>
        <c:axId val="149683200"/>
        <c:scaling>
          <c:orientation val="minMax"/>
        </c:scaling>
        <c:axPos val="l"/>
        <c:majorGridlines/>
        <c:numFmt formatCode="General" sourceLinked="1"/>
        <c:tickLblPos val="nextTo"/>
        <c:crossAx val="149681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Hampshire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8.8272727272727263</c:v>
                </c:pt>
                <c:pt idx="1">
                  <c:v>9.0300000000000011</c:v>
                </c:pt>
                <c:pt idx="2">
                  <c:v>9.4381818181818176</c:v>
                </c:pt>
                <c:pt idx="3">
                  <c:v>9.7000000000000011</c:v>
                </c:pt>
                <c:pt idx="4">
                  <c:v>10.57090909090909</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49721088"/>
        <c:axId val="149722624"/>
      </c:lineChart>
      <c:catAx>
        <c:axId val="149721088"/>
        <c:scaling>
          <c:orientation val="minMax"/>
        </c:scaling>
        <c:axPos val="b"/>
        <c:numFmt formatCode="General" sourceLinked="1"/>
        <c:tickLblPos val="nextTo"/>
        <c:crossAx val="149722624"/>
        <c:crosses val="autoZero"/>
        <c:auto val="1"/>
        <c:lblAlgn val="ctr"/>
        <c:lblOffset val="100"/>
      </c:catAx>
      <c:valAx>
        <c:axId val="149722624"/>
        <c:scaling>
          <c:orientation val="minMax"/>
        </c:scaling>
        <c:axPos val="l"/>
        <c:majorGridlines/>
        <c:numFmt formatCode="General" sourceLinked="1"/>
        <c:tickLblPos val="nextTo"/>
        <c:crossAx val="149721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Hampshire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8.221882072926606</c:v>
                </c:pt>
                <c:pt idx="1">
                  <c:v>8.3237076578937756</c:v>
                </c:pt>
                <c:pt idx="2">
                  <c:v>8.6536363636363642</c:v>
                </c:pt>
                <c:pt idx="3">
                  <c:v>9.0928529743408077</c:v>
                </c:pt>
                <c:pt idx="4">
                  <c:v>9.92090909090909</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49749120"/>
        <c:axId val="149824640"/>
      </c:lineChart>
      <c:catAx>
        <c:axId val="149749120"/>
        <c:scaling>
          <c:orientation val="minMax"/>
        </c:scaling>
        <c:axPos val="b"/>
        <c:numFmt formatCode="General" sourceLinked="1"/>
        <c:tickLblPos val="nextTo"/>
        <c:crossAx val="149824640"/>
        <c:crosses val="autoZero"/>
        <c:auto val="1"/>
        <c:lblAlgn val="ctr"/>
        <c:lblOffset val="100"/>
      </c:catAx>
      <c:valAx>
        <c:axId val="149824640"/>
        <c:scaling>
          <c:orientation val="minMax"/>
        </c:scaling>
        <c:axPos val="l"/>
        <c:majorGridlines/>
        <c:numFmt formatCode="General" sourceLinked="1"/>
        <c:tickLblPos val="nextTo"/>
        <c:crossAx val="149749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Hampshire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91.29</c:v>
                </c:pt>
                <c:pt idx="1">
                  <c:v>91.038181818181812</c:v>
                </c:pt>
                <c:pt idx="2">
                  <c:v>95.151818181818172</c:v>
                </c:pt>
                <c:pt idx="3">
                  <c:v>102.36</c:v>
                </c:pt>
                <c:pt idx="4">
                  <c:v>106.97909090909093</c:v>
                </c:pt>
                <c:pt idx="5">
                  <c:v>110.34727272727272</c:v>
                </c:pt>
                <c:pt idx="6">
                  <c:v>112.61780717172046</c:v>
                </c:pt>
                <c:pt idx="7">
                  <c:v>111.41379735271575</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49753856"/>
        <c:axId val="149755392"/>
      </c:lineChart>
      <c:catAx>
        <c:axId val="149753856"/>
        <c:scaling>
          <c:orientation val="minMax"/>
        </c:scaling>
        <c:axPos val="b"/>
        <c:numFmt formatCode="General" sourceLinked="1"/>
        <c:tickLblPos val="nextTo"/>
        <c:crossAx val="149755392"/>
        <c:crosses val="autoZero"/>
        <c:auto val="1"/>
        <c:lblAlgn val="ctr"/>
        <c:lblOffset val="100"/>
      </c:catAx>
      <c:valAx>
        <c:axId val="14975539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49753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Hampshire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0.84962406015037595</c:v>
                </c:pt>
                <c:pt idx="1">
                  <c:v>0.81578947368421051</c:v>
                </c:pt>
                <c:pt idx="2">
                  <c:v>0.98010849909584086</c:v>
                </c:pt>
                <c:pt idx="3">
                  <c:v>1.0064828277853963</c:v>
                </c:pt>
                <c:pt idx="4">
                  <c:v>1.3112908197171107</c:v>
                </c:pt>
                <c:pt idx="5">
                  <c:v>1.2519887903739897</c:v>
                </c:pt>
                <c:pt idx="6">
                  <c:v>1.1890147662305777</c:v>
                </c:pt>
              </c:numCache>
            </c:numRef>
          </c:val>
        </c:ser>
        <c:marker val="1"/>
        <c:axId val="149790720"/>
        <c:axId val="149792256"/>
      </c:lineChart>
      <c:catAx>
        <c:axId val="149790720"/>
        <c:scaling>
          <c:orientation val="minMax"/>
        </c:scaling>
        <c:axPos val="b"/>
        <c:tickLblPos val="nextTo"/>
        <c:crossAx val="149792256"/>
        <c:crosses val="autoZero"/>
        <c:auto val="1"/>
        <c:lblAlgn val="ctr"/>
        <c:lblOffset val="100"/>
      </c:catAx>
      <c:valAx>
        <c:axId val="149792256"/>
        <c:scaling>
          <c:orientation val="minMax"/>
        </c:scaling>
        <c:axPos val="l"/>
        <c:majorGridlines/>
        <c:numFmt formatCode="General" sourceLinked="1"/>
        <c:tickLblPos val="nextTo"/>
        <c:crossAx val="149790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Hampshire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1.137218045112782</c:v>
                </c:pt>
                <c:pt idx="1">
                  <c:v>1.2161654135338347</c:v>
                </c:pt>
                <c:pt idx="2">
                  <c:v>1.2983725135623869</c:v>
                </c:pt>
                <c:pt idx="3">
                  <c:v>1.3982922143161398</c:v>
                </c:pt>
                <c:pt idx="4">
                  <c:v>1.5161800102979093</c:v>
                </c:pt>
                <c:pt idx="5">
                  <c:v>1.6457736990529739</c:v>
                </c:pt>
                <c:pt idx="6">
                  <c:v>1.9038229774549322</c:v>
                </c:pt>
              </c:numCache>
            </c:numRef>
          </c:val>
        </c:ser>
        <c:marker val="1"/>
        <c:axId val="149884288"/>
        <c:axId val="149902464"/>
      </c:lineChart>
      <c:catAx>
        <c:axId val="149884288"/>
        <c:scaling>
          <c:orientation val="minMax"/>
        </c:scaling>
        <c:axPos val="b"/>
        <c:tickLblPos val="nextTo"/>
        <c:crossAx val="149902464"/>
        <c:crosses val="autoZero"/>
        <c:auto val="1"/>
        <c:lblAlgn val="ctr"/>
        <c:lblOffset val="100"/>
      </c:catAx>
      <c:valAx>
        <c:axId val="149902464"/>
        <c:scaling>
          <c:orientation val="minMax"/>
        </c:scaling>
        <c:axPos val="l"/>
        <c:majorGridlines/>
        <c:numFmt formatCode="General" sourceLinked="1"/>
        <c:tickLblPos val="nextTo"/>
        <c:crossAx val="149884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Hampshire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#N/A</c:v>
                </c:pt>
                <c:pt idx="2">
                  <c:v>1.1632825719120139</c:v>
                </c:pt>
                <c:pt idx="3">
                  <c:v>1.3675093797117714</c:v>
                </c:pt>
                <c:pt idx="4">
                  <c:v>1.4644862094215281</c:v>
                </c:pt>
                <c:pt idx="5">
                  <c:v>1.6105011602535242</c:v>
                </c:pt>
                <c:pt idx="6">
                  <c:v>1.4422829278343436</c:v>
                </c:pt>
                <c:pt idx="7">
                  <c:v>2.0604041826204913</c:v>
                </c:pt>
              </c:numCache>
            </c:numRef>
          </c:val>
        </c:ser>
        <c:marker val="1"/>
        <c:axId val="113314432"/>
        <c:axId val="113324416"/>
      </c:lineChart>
      <c:catAx>
        <c:axId val="113314432"/>
        <c:scaling>
          <c:orientation val="minMax"/>
        </c:scaling>
        <c:axPos val="b"/>
        <c:tickLblPos val="nextTo"/>
        <c:crossAx val="113324416"/>
        <c:crosses val="autoZero"/>
        <c:auto val="1"/>
        <c:lblAlgn val="ctr"/>
        <c:lblOffset val="100"/>
      </c:catAx>
      <c:valAx>
        <c:axId val="113324416"/>
        <c:scaling>
          <c:orientation val="minMax"/>
        </c:scaling>
        <c:axPos val="l"/>
        <c:majorGridlines/>
        <c:numFmt formatCode="General" sourceLinked="1"/>
        <c:tickLblPos val="nextTo"/>
        <c:crossAx val="113314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Hampshire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#N/A</c:v>
                </c:pt>
                <c:pt idx="2">
                  <c:v>0</c:v>
                </c:pt>
                <c:pt idx="3">
                  <c:v>1.7532171534766296E-2</c:v>
                </c:pt>
                <c:pt idx="4">
                  <c:v>0.10460615781582343</c:v>
                </c:pt>
                <c:pt idx="5">
                  <c:v>3.4634433553839231E-2</c:v>
                </c:pt>
                <c:pt idx="6">
                  <c:v>8.5850174275853799E-2</c:v>
                </c:pt>
                <c:pt idx="7">
                  <c:v>8.5850174275853799E-2</c:v>
                </c:pt>
              </c:numCache>
            </c:numRef>
          </c:val>
        </c:ser>
        <c:marker val="1"/>
        <c:axId val="113359104"/>
        <c:axId val="113373184"/>
      </c:lineChart>
      <c:catAx>
        <c:axId val="113359104"/>
        <c:scaling>
          <c:orientation val="minMax"/>
        </c:scaling>
        <c:axPos val="b"/>
        <c:tickLblPos val="nextTo"/>
        <c:crossAx val="113373184"/>
        <c:crosses val="autoZero"/>
        <c:auto val="1"/>
        <c:lblAlgn val="ctr"/>
        <c:lblOffset val="100"/>
      </c:catAx>
      <c:valAx>
        <c:axId val="113373184"/>
        <c:scaling>
          <c:orientation val="minMax"/>
        </c:scaling>
        <c:axPos val="l"/>
        <c:majorGridlines/>
        <c:numFmt formatCode="General" sourceLinked="1"/>
        <c:tickLblPos val="nextTo"/>
        <c:crossAx val="113359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Hampshire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#N/A</c:v>
                </c:pt>
                <c:pt idx="2">
                  <c:v>5.3405245346869696</c:v>
                </c:pt>
                <c:pt idx="3">
                  <c:v>6.3641782671201641</c:v>
                </c:pt>
                <c:pt idx="4">
                  <c:v>6.9388751351162874</c:v>
                </c:pt>
                <c:pt idx="5">
                  <c:v>7.22127939597548</c:v>
                </c:pt>
                <c:pt idx="6">
                  <c:v>6.8508439072131324</c:v>
                </c:pt>
                <c:pt idx="7">
                  <c:v>7.8982160333785476</c:v>
                </c:pt>
              </c:numCache>
            </c:numRef>
          </c:val>
        </c:ser>
        <c:marker val="1"/>
        <c:axId val="149129088"/>
        <c:axId val="149130624"/>
      </c:lineChart>
      <c:catAx>
        <c:axId val="149129088"/>
        <c:scaling>
          <c:orientation val="minMax"/>
        </c:scaling>
        <c:axPos val="b"/>
        <c:tickLblPos val="nextTo"/>
        <c:crossAx val="149130624"/>
        <c:crosses val="autoZero"/>
        <c:auto val="1"/>
        <c:lblAlgn val="ctr"/>
        <c:lblOffset val="100"/>
      </c:catAx>
      <c:valAx>
        <c:axId val="149130624"/>
        <c:scaling>
          <c:orientation val="minMax"/>
        </c:scaling>
        <c:axPos val="l"/>
        <c:majorGridlines/>
        <c:numFmt formatCode="General" sourceLinked="1"/>
        <c:tickLblPos val="nextTo"/>
        <c:crossAx val="149129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Hampshire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#N/A</c:v>
                </c:pt>
                <c:pt idx="2">
                  <c:v>5.6049069373942455</c:v>
                </c:pt>
                <c:pt idx="3">
                  <c:v>4.4882359129001719</c:v>
                </c:pt>
                <c:pt idx="4">
                  <c:v>4.7421458209839944</c:v>
                </c:pt>
                <c:pt idx="5">
                  <c:v>4.9700412149759297</c:v>
                </c:pt>
                <c:pt idx="6">
                  <c:v>5.0995003519857143</c:v>
                </c:pt>
                <c:pt idx="7">
                  <c:v>5.3570508748132752</c:v>
                </c:pt>
              </c:numCache>
            </c:numRef>
          </c:val>
        </c:ser>
        <c:marker val="1"/>
        <c:axId val="149161472"/>
        <c:axId val="149163008"/>
      </c:lineChart>
      <c:catAx>
        <c:axId val="149161472"/>
        <c:scaling>
          <c:orientation val="minMax"/>
        </c:scaling>
        <c:axPos val="b"/>
        <c:tickLblPos val="nextTo"/>
        <c:crossAx val="149163008"/>
        <c:crosses val="autoZero"/>
        <c:auto val="1"/>
        <c:lblAlgn val="ctr"/>
        <c:lblOffset val="100"/>
      </c:catAx>
      <c:valAx>
        <c:axId val="149163008"/>
        <c:scaling>
          <c:orientation val="minMax"/>
        </c:scaling>
        <c:axPos val="l"/>
        <c:majorGridlines/>
        <c:numFmt formatCode="General" sourceLinked="1"/>
        <c:tickLblPos val="nextTo"/>
        <c:crossAx val="149161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Hampshire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#N/A</c:v>
                </c:pt>
                <c:pt idx="2">
                  <c:v>1.9035532994923858</c:v>
                </c:pt>
                <c:pt idx="3">
                  <c:v>1.0343981205512121</c:v>
                </c:pt>
                <c:pt idx="4">
                  <c:v>1.1681020956100283</c:v>
                </c:pt>
                <c:pt idx="5">
                  <c:v>1.6451355938073633</c:v>
                </c:pt>
                <c:pt idx="6">
                  <c:v>1.5109630672550263</c:v>
                </c:pt>
                <c:pt idx="7">
                  <c:v>2.0432341477653209</c:v>
                </c:pt>
              </c:numCache>
            </c:numRef>
          </c:val>
        </c:ser>
        <c:marker val="1"/>
        <c:axId val="149210240"/>
        <c:axId val="149211776"/>
      </c:lineChart>
      <c:catAx>
        <c:axId val="149210240"/>
        <c:scaling>
          <c:orientation val="minMax"/>
        </c:scaling>
        <c:axPos val="b"/>
        <c:tickLblPos val="nextTo"/>
        <c:crossAx val="149211776"/>
        <c:crosses val="autoZero"/>
        <c:auto val="1"/>
        <c:lblAlgn val="ctr"/>
        <c:lblOffset val="100"/>
      </c:catAx>
      <c:valAx>
        <c:axId val="149211776"/>
        <c:scaling>
          <c:orientation val="minMax"/>
        </c:scaling>
        <c:axPos val="l"/>
        <c:majorGridlines/>
        <c:numFmt formatCode="General" sourceLinked="1"/>
        <c:tickLblPos val="nextTo"/>
        <c:crossAx val="1492102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Hampshire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#N/A</c:v>
                </c:pt>
                <c:pt idx="2">
                  <c:v>0</c:v>
                </c:pt>
                <c:pt idx="3">
                  <c:v>0</c:v>
                </c:pt>
                <c:pt idx="4">
                  <c:v>1.7434359635970571E-2</c:v>
                </c:pt>
                <c:pt idx="5">
                  <c:v>1.7317216776919612E-2</c:v>
                </c:pt>
                <c:pt idx="6">
                  <c:v>3.4340069710341509E-2</c:v>
                </c:pt>
                <c:pt idx="7">
                  <c:v>1.7170034855170754E-2</c:v>
                </c:pt>
              </c:numCache>
            </c:numRef>
          </c:val>
        </c:ser>
        <c:marker val="1"/>
        <c:axId val="149263104"/>
        <c:axId val="149264640"/>
      </c:lineChart>
      <c:catAx>
        <c:axId val="149263104"/>
        <c:scaling>
          <c:orientation val="minMax"/>
        </c:scaling>
        <c:axPos val="b"/>
        <c:tickLblPos val="nextTo"/>
        <c:crossAx val="149264640"/>
        <c:crosses val="autoZero"/>
        <c:auto val="1"/>
        <c:lblAlgn val="ctr"/>
        <c:lblOffset val="100"/>
      </c:catAx>
      <c:valAx>
        <c:axId val="149264640"/>
        <c:scaling>
          <c:orientation val="minMax"/>
        </c:scaling>
        <c:axPos val="l"/>
        <c:majorGridlines/>
        <c:numFmt formatCode="General" sourceLinked="1"/>
        <c:tickLblPos val="nextTo"/>
        <c:crossAx val="149263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Hampshire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#N/A</c:v>
                </c:pt>
                <c:pt idx="2">
                  <c:v>7.5260857304004496</c:v>
                </c:pt>
                <c:pt idx="3">
                  <c:v>5.54016620498615</c:v>
                </c:pt>
                <c:pt idx="4">
                  <c:v>5.9276822762299908</c:v>
                </c:pt>
                <c:pt idx="5">
                  <c:v>6.6498112423371305</c:v>
                </c:pt>
                <c:pt idx="6">
                  <c:v>6.6448034889510819</c:v>
                </c:pt>
                <c:pt idx="7">
                  <c:v>7.4174550574337665</c:v>
                </c:pt>
              </c:numCache>
            </c:numRef>
          </c:val>
        </c:ser>
        <c:marker val="1"/>
        <c:axId val="149295488"/>
        <c:axId val="149297024"/>
      </c:lineChart>
      <c:catAx>
        <c:axId val="149295488"/>
        <c:scaling>
          <c:orientation val="minMax"/>
        </c:scaling>
        <c:axPos val="b"/>
        <c:tickLblPos val="nextTo"/>
        <c:crossAx val="149297024"/>
        <c:crosses val="autoZero"/>
        <c:auto val="1"/>
        <c:lblAlgn val="ctr"/>
        <c:lblOffset val="100"/>
      </c:catAx>
      <c:valAx>
        <c:axId val="149297024"/>
        <c:scaling>
          <c:orientation val="minMax"/>
        </c:scaling>
        <c:axPos val="l"/>
        <c:majorGridlines/>
        <c:numFmt formatCode="General" sourceLinked="1"/>
        <c:tickLblPos val="nextTo"/>
        <c:crossAx val="149295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Hampshire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5.7282853919909762</c:v>
                </c:pt>
                <c:pt idx="1">
                  <c:v>6.1888565517725018</c:v>
                </c:pt>
                <c:pt idx="2">
                  <c:v>7.2526936085637574</c:v>
                </c:pt>
                <c:pt idx="3">
                  <c:v>7.2385966127523984</c:v>
                </c:pt>
                <c:pt idx="4">
                  <c:v>8.5936024450129622</c:v>
                </c:pt>
              </c:numCache>
            </c:numRef>
          </c:val>
        </c:ser>
        <c:marker val="1"/>
        <c:axId val="149331968"/>
        <c:axId val="149333504"/>
      </c:lineChart>
      <c:catAx>
        <c:axId val="149331968"/>
        <c:scaling>
          <c:orientation val="minMax"/>
        </c:scaling>
        <c:axPos val="b"/>
        <c:tickLblPos val="nextTo"/>
        <c:crossAx val="149333504"/>
        <c:crosses val="autoZero"/>
        <c:auto val="1"/>
        <c:lblAlgn val="ctr"/>
        <c:lblOffset val="100"/>
      </c:catAx>
      <c:valAx>
        <c:axId val="149333504"/>
        <c:scaling>
          <c:orientation val="minMax"/>
        </c:scaling>
        <c:axPos val="l"/>
        <c:majorGridlines/>
        <c:numFmt formatCode="General" sourceLinked="1"/>
        <c:tickLblPos val="nextTo"/>
        <c:crossAx val="1493319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01DFC-56EF-41F8-9F2B-90856DC6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2018-04-30T15:51:00Z</dcterms:created>
  <dcterms:modified xsi:type="dcterms:W3CDTF">2018-05-01T13:59:00Z</dcterms:modified>
</cp:coreProperties>
</file>