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E5A52">
      <w:r w:rsidRPr="004E5A52">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D5684A" w:rsidP="004D3814">
                  <w:pPr>
                    <w:jc w:val="right"/>
                    <w:rPr>
                      <w:rFonts w:ascii="Segoe UI" w:hAnsi="Segoe UI" w:cs="Segoe UI"/>
                      <w:b/>
                      <w:sz w:val="72"/>
                      <w:szCs w:val="72"/>
                      <w:u w:val="single"/>
                    </w:rPr>
                  </w:pPr>
                  <w:r>
                    <w:rPr>
                      <w:rFonts w:ascii="Segoe UI" w:hAnsi="Segoe UI" w:cs="Segoe UI"/>
                      <w:b/>
                      <w:sz w:val="72"/>
                      <w:szCs w:val="72"/>
                      <w:u w:val="single"/>
                    </w:rPr>
                    <w:t>Norfolk</w:t>
                  </w:r>
                  <w:r w:rsidR="00A769A7">
                    <w:rPr>
                      <w:rFonts w:ascii="Segoe UI" w:hAnsi="Segoe UI" w:cs="Segoe UI"/>
                      <w:b/>
                      <w:sz w:val="72"/>
                      <w:szCs w:val="72"/>
                      <w:u w:val="single"/>
                    </w:rPr>
                    <w:t xml:space="preserve">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4E5A52"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4E5A52"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4E5A52"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4E5A52"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4E5A52"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5684A">
      <w:pPr>
        <w:rPr>
          <w:rFonts w:ascii="Segoe UI" w:hAnsi="Segoe UI" w:cs="Segoe UI"/>
        </w:rPr>
      </w:pPr>
      <w:r>
        <w:rPr>
          <w:rFonts w:ascii="Segoe UI" w:hAnsi="Segoe UI" w:cs="Segoe UI"/>
        </w:rPr>
        <w:t>Norfolk</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3,040</w:t>
      </w:r>
      <w:r w:rsidR="00FA4ACC">
        <w:rPr>
          <w:rFonts w:ascii="Segoe UI" w:hAnsi="Segoe UI" w:cs="Segoe UI"/>
        </w:rPr>
        <w:t xml:space="preserve">, made up of </w:t>
      </w:r>
      <w:r>
        <w:rPr>
          <w:rFonts w:ascii="Segoe UI" w:hAnsi="Segoe UI" w:cs="Segoe UI"/>
        </w:rPr>
        <w:t>2,72</w:t>
      </w:r>
      <w:r w:rsidR="003A632E">
        <w:rPr>
          <w:rFonts w:ascii="Segoe UI" w:hAnsi="Segoe UI" w:cs="Segoe UI"/>
        </w:rPr>
        <w:t>0</w:t>
      </w:r>
      <w:r w:rsidR="00FA4ACC">
        <w:rPr>
          <w:rFonts w:ascii="Segoe UI" w:hAnsi="Segoe UI" w:cs="Segoe UI"/>
        </w:rPr>
        <w:t xml:space="preserve"> private enterprise builds</w:t>
      </w:r>
      <w:r w:rsidR="00FB162E">
        <w:rPr>
          <w:rFonts w:ascii="Segoe UI" w:hAnsi="Segoe UI" w:cs="Segoe UI"/>
        </w:rPr>
        <w:t xml:space="preserve">, </w:t>
      </w:r>
      <w:r>
        <w:rPr>
          <w:rFonts w:ascii="Segoe UI" w:hAnsi="Segoe UI" w:cs="Segoe UI"/>
        </w:rPr>
        <w:t>32</w:t>
      </w:r>
      <w:r w:rsidR="00B54BB1">
        <w:rPr>
          <w:rFonts w:ascii="Segoe UI" w:hAnsi="Segoe UI" w:cs="Segoe UI"/>
        </w:rPr>
        <w:t xml:space="preserve">0 </w:t>
      </w:r>
      <w:r w:rsidR="003A5C91">
        <w:rPr>
          <w:rFonts w:ascii="Segoe UI" w:hAnsi="Segoe UI" w:cs="Segoe UI"/>
        </w:rPr>
        <w:t>housing association builds</w:t>
      </w:r>
      <w:r w:rsidR="008D3838">
        <w:rPr>
          <w:rFonts w:ascii="Segoe UI" w:hAnsi="Segoe UI" w:cs="Segoe UI"/>
        </w:rPr>
        <w:t xml:space="preserve"> and </w:t>
      </w:r>
      <w:r w:rsidR="00FB162E">
        <w:rPr>
          <w:rFonts w:ascii="Segoe UI" w:hAnsi="Segoe UI" w:cs="Segoe UI"/>
        </w:rPr>
        <w:t>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416,210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A50B05">
        <w:rPr>
          <w:rFonts w:ascii="Segoe UI" w:hAnsi="Segoe UI" w:cs="Segoe UI"/>
        </w:rPr>
        <w:t>Norfolk</w:t>
      </w:r>
      <w:r w:rsidR="002651E1">
        <w:rPr>
          <w:rFonts w:ascii="Segoe UI" w:hAnsi="Segoe UI" w:cs="Segoe UI"/>
        </w:rPr>
        <w:t xml:space="preserve"> </w:t>
      </w:r>
      <w:r w:rsidR="00465750">
        <w:rPr>
          <w:rFonts w:ascii="Segoe UI" w:hAnsi="Segoe UI" w:cs="Segoe UI"/>
        </w:rPr>
        <w:t xml:space="preserve">had net additions of </w:t>
      </w:r>
      <w:r w:rsidR="00A50B05">
        <w:rPr>
          <w:rFonts w:ascii="Segoe UI" w:hAnsi="Segoe UI" w:cs="Segoe UI"/>
        </w:rPr>
        <w:t>4,146</w:t>
      </w:r>
      <w:r w:rsidR="004A44E1">
        <w:rPr>
          <w:rFonts w:ascii="Segoe UI" w:hAnsi="Segoe UI" w:cs="Segoe UI"/>
        </w:rPr>
        <w:t xml:space="preserve"> dwellings</w:t>
      </w:r>
      <w:r w:rsidR="00465750">
        <w:rPr>
          <w:rFonts w:ascii="Segoe UI" w:hAnsi="Segoe UI" w:cs="Segoe UI"/>
        </w:rPr>
        <w:t xml:space="preserve"> comprised of </w:t>
      </w:r>
      <w:r w:rsidR="00A50B05">
        <w:rPr>
          <w:rFonts w:ascii="Segoe UI" w:hAnsi="Segoe UI" w:cs="Segoe UI"/>
        </w:rPr>
        <w:t>3,610</w:t>
      </w:r>
      <w:r w:rsidR="00465750">
        <w:rPr>
          <w:rFonts w:ascii="Segoe UI" w:hAnsi="Segoe UI" w:cs="Segoe UI"/>
        </w:rPr>
        <w:t xml:space="preserve"> new builds, </w:t>
      </w:r>
      <w:r w:rsidR="00A50B05">
        <w:rPr>
          <w:rFonts w:ascii="Segoe UI" w:hAnsi="Segoe UI" w:cs="Segoe UI"/>
        </w:rPr>
        <w:t>62</w:t>
      </w:r>
      <w:r w:rsidR="00465750">
        <w:rPr>
          <w:rFonts w:ascii="Segoe UI" w:hAnsi="Segoe UI" w:cs="Segoe UI"/>
        </w:rPr>
        <w:t xml:space="preserve"> conversations, </w:t>
      </w:r>
      <w:r w:rsidR="00A50B05">
        <w:rPr>
          <w:rFonts w:ascii="Segoe UI" w:hAnsi="Segoe UI" w:cs="Segoe UI"/>
        </w:rPr>
        <w:t>516</w:t>
      </w:r>
      <w:r w:rsidR="00465750">
        <w:rPr>
          <w:rFonts w:ascii="Segoe UI" w:hAnsi="Segoe UI" w:cs="Segoe UI"/>
        </w:rPr>
        <w:t xml:space="preserve"> change of use, and </w:t>
      </w:r>
      <w:r w:rsidR="00A50B05">
        <w:rPr>
          <w:rFonts w:ascii="Segoe UI" w:hAnsi="Segoe UI" w:cs="Segoe UI"/>
        </w:rPr>
        <w:t>43</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A50B05">
        <w:rPr>
          <w:rFonts w:ascii="Segoe UI" w:hAnsi="Segoe UI" w:cs="Segoe UI"/>
        </w:rPr>
        <w:t>Norfolk</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A50B05">
        <w:rPr>
          <w:rFonts w:ascii="Segoe UI" w:hAnsi="Segoe UI" w:cs="Segoe UI"/>
        </w:rPr>
        <w:t>1.5</w:t>
      </w:r>
      <w:r>
        <w:rPr>
          <w:rFonts w:ascii="Segoe UI" w:hAnsi="Segoe UI" w:cs="Segoe UI"/>
        </w:rPr>
        <w:t>, the number of households accommodated in temporary accommodat</w:t>
      </w:r>
      <w:r w:rsidR="009579D3">
        <w:rPr>
          <w:rFonts w:ascii="Segoe UI" w:hAnsi="Segoe UI" w:cs="Segoe UI"/>
        </w:rPr>
        <w:t>ion per 1,000 households was 0.</w:t>
      </w:r>
      <w:r w:rsidR="00A50B05">
        <w:rPr>
          <w:rFonts w:ascii="Segoe UI" w:hAnsi="Segoe UI" w:cs="Segoe UI"/>
        </w:rPr>
        <w:t>6</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A632E"/>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5A52"/>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3838"/>
    <w:rsid w:val="008D66C0"/>
    <w:rsid w:val="008E1B8F"/>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270C1"/>
    <w:rsid w:val="00A3620F"/>
    <w:rsid w:val="00A43A9A"/>
    <w:rsid w:val="00A44C1F"/>
    <w:rsid w:val="00A50B05"/>
    <w:rsid w:val="00A51127"/>
    <w:rsid w:val="00A57F92"/>
    <w:rsid w:val="00A61248"/>
    <w:rsid w:val="00A67FA7"/>
    <w:rsid w:val="00A769A7"/>
    <w:rsid w:val="00A76BD8"/>
    <w:rsid w:val="00AA4EAF"/>
    <w:rsid w:val="00AB2003"/>
    <w:rsid w:val="00AC05B9"/>
    <w:rsid w:val="00AC18BA"/>
    <w:rsid w:val="00AE2392"/>
    <w:rsid w:val="00AE3362"/>
    <w:rsid w:val="00AE3AC8"/>
    <w:rsid w:val="00AF0048"/>
    <w:rsid w:val="00B03243"/>
    <w:rsid w:val="00B4609A"/>
    <w:rsid w:val="00B54BB1"/>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B77"/>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684A"/>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2F97"/>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B162E"/>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Norfolk</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4.239094990844559</c:v>
                </c:pt>
                <c:pt idx="1">
                  <c:v>4.1318199920350454</c:v>
                </c:pt>
                <c:pt idx="2">
                  <c:v>4.9946838760724956</c:v>
                </c:pt>
                <c:pt idx="3">
                  <c:v>3.8846409165785647</c:v>
                </c:pt>
                <c:pt idx="4">
                  <c:v>5.1061542596076306</c:v>
                </c:pt>
                <c:pt idx="5">
                  <c:v>5.8183228684331754</c:v>
                </c:pt>
                <c:pt idx="6">
                  <c:v>6.7754258667499565</c:v>
                </c:pt>
                <c:pt idx="7">
                  <c:v>7.2319261911054511</c:v>
                </c:pt>
              </c:numCache>
            </c:numRef>
          </c:val>
        </c:ser>
        <c:marker val="1"/>
        <c:axId val="156011136"/>
        <c:axId val="156074368"/>
      </c:lineChart>
      <c:catAx>
        <c:axId val="156011136"/>
        <c:scaling>
          <c:orientation val="minMax"/>
        </c:scaling>
        <c:axPos val="b"/>
        <c:tickLblPos val="nextTo"/>
        <c:txPr>
          <a:bodyPr/>
          <a:lstStyle/>
          <a:p>
            <a:pPr>
              <a:defRPr sz="1000"/>
            </a:pPr>
            <a:endParaRPr lang="en-US"/>
          </a:p>
        </c:txPr>
        <c:crossAx val="156074368"/>
        <c:crosses val="autoZero"/>
        <c:auto val="1"/>
        <c:lblAlgn val="ctr"/>
        <c:lblOffset val="100"/>
      </c:catAx>
      <c:valAx>
        <c:axId val="156074368"/>
        <c:scaling>
          <c:orientation val="minMax"/>
        </c:scaling>
        <c:axPos val="l"/>
        <c:majorGridlines/>
        <c:numFmt formatCode="General" sourceLinked="1"/>
        <c:tickLblPos val="nextTo"/>
        <c:crossAx val="156011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Norfolk</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0.29671389362806916</c:v>
                </c:pt>
                <c:pt idx="1">
                  <c:v>0.29503601898065052</c:v>
                </c:pt>
                <c:pt idx="2">
                  <c:v>0.2443136009381642</c:v>
                </c:pt>
                <c:pt idx="3">
                  <c:v>0.14545807171082936</c:v>
                </c:pt>
                <c:pt idx="4">
                  <c:v>0.14896326373705582</c:v>
                </c:pt>
              </c:numCache>
            </c:numRef>
          </c:val>
        </c:ser>
        <c:marker val="1"/>
        <c:axId val="156974080"/>
        <c:axId val="156984064"/>
      </c:lineChart>
      <c:catAx>
        <c:axId val="156974080"/>
        <c:scaling>
          <c:orientation val="minMax"/>
        </c:scaling>
        <c:axPos val="b"/>
        <c:tickLblPos val="nextTo"/>
        <c:crossAx val="156984064"/>
        <c:crosses val="autoZero"/>
        <c:auto val="1"/>
        <c:lblAlgn val="ctr"/>
        <c:lblOffset val="100"/>
      </c:catAx>
      <c:valAx>
        <c:axId val="156984064"/>
        <c:scaling>
          <c:orientation val="minMax"/>
        </c:scaling>
        <c:axPos val="l"/>
        <c:majorGridlines/>
        <c:numFmt formatCode="General" sourceLinked="1"/>
        <c:tickLblPos val="nextTo"/>
        <c:crossAx val="1569740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Norfolk</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0.89014168088420742</c:v>
                </c:pt>
                <c:pt idx="1">
                  <c:v>0.41796769355592162</c:v>
                </c:pt>
                <c:pt idx="2">
                  <c:v>1.1727052845031884</c:v>
                </c:pt>
                <c:pt idx="3">
                  <c:v>1.1636645736866349</c:v>
                </c:pt>
                <c:pt idx="4">
                  <c:v>1.2397587756180775</c:v>
                </c:pt>
              </c:numCache>
            </c:numRef>
          </c:val>
        </c:ser>
        <c:marker val="1"/>
        <c:axId val="157026944"/>
        <c:axId val="157045120"/>
      </c:lineChart>
      <c:catAx>
        <c:axId val="157026944"/>
        <c:scaling>
          <c:orientation val="minMax"/>
        </c:scaling>
        <c:axPos val="b"/>
        <c:tickLblPos val="nextTo"/>
        <c:crossAx val="157045120"/>
        <c:crosses val="autoZero"/>
        <c:auto val="1"/>
        <c:lblAlgn val="ctr"/>
        <c:lblOffset val="100"/>
      </c:catAx>
      <c:valAx>
        <c:axId val="157045120"/>
        <c:scaling>
          <c:orientation val="minMax"/>
        </c:scaling>
        <c:axPos val="l"/>
        <c:majorGridlines/>
        <c:numFmt formatCode="General" sourceLinked="1"/>
        <c:tickLblPos val="nextTo"/>
        <c:crossAx val="157026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Norfolk</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0.14835694681403458</c:v>
                </c:pt>
                <c:pt idx="1">
                  <c:v>2.4586334915054214E-2</c:v>
                </c:pt>
                <c:pt idx="2">
                  <c:v>0</c:v>
                </c:pt>
                <c:pt idx="3">
                  <c:v>2.4243011951804894E-2</c:v>
                </c:pt>
                <c:pt idx="4">
                  <c:v>2.4026332860815455E-3</c:v>
                </c:pt>
              </c:numCache>
            </c:numRef>
          </c:val>
        </c:ser>
        <c:marker val="1"/>
        <c:axId val="157067520"/>
        <c:axId val="157093888"/>
      </c:lineChart>
      <c:catAx>
        <c:axId val="157067520"/>
        <c:scaling>
          <c:orientation val="minMax"/>
        </c:scaling>
        <c:axPos val="b"/>
        <c:tickLblPos val="nextTo"/>
        <c:crossAx val="157093888"/>
        <c:crosses val="autoZero"/>
        <c:auto val="1"/>
        <c:lblAlgn val="ctr"/>
        <c:lblOffset val="100"/>
      </c:catAx>
      <c:valAx>
        <c:axId val="157093888"/>
        <c:scaling>
          <c:orientation val="minMax"/>
        </c:scaling>
        <c:axPos val="l"/>
        <c:majorGridlines/>
        <c:numFmt formatCode="General" sourceLinked="1"/>
        <c:tickLblPos val="nextTo"/>
        <c:crossAx val="157067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Norfolk</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9.8904631209356372E-2</c:v>
                </c:pt>
                <c:pt idx="1">
                  <c:v>0.44255402847097586</c:v>
                </c:pt>
                <c:pt idx="2">
                  <c:v>0.21988224084434779</c:v>
                </c:pt>
                <c:pt idx="3">
                  <c:v>0.26667313146985383</c:v>
                </c:pt>
                <c:pt idx="4">
                  <c:v>0.10331323130150645</c:v>
                </c:pt>
              </c:numCache>
            </c:numRef>
          </c:val>
        </c:ser>
        <c:marker val="1"/>
        <c:axId val="157104000"/>
        <c:axId val="157105536"/>
      </c:lineChart>
      <c:catAx>
        <c:axId val="157104000"/>
        <c:scaling>
          <c:orientation val="minMax"/>
        </c:scaling>
        <c:axPos val="b"/>
        <c:tickLblPos val="nextTo"/>
        <c:crossAx val="157105536"/>
        <c:crosses val="autoZero"/>
        <c:auto val="1"/>
        <c:lblAlgn val="ctr"/>
        <c:lblOffset val="100"/>
      </c:catAx>
      <c:valAx>
        <c:axId val="157105536"/>
        <c:scaling>
          <c:orientation val="minMax"/>
        </c:scaling>
        <c:axPos val="l"/>
        <c:majorGridlines/>
        <c:numFmt formatCode="General" sourceLinked="1"/>
        <c:tickLblPos val="nextTo"/>
        <c:crossAx val="157104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Norfolk</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5.6870162945379921</c:v>
                </c:pt>
                <c:pt idx="1">
                  <c:v>6.3432744080839871</c:v>
                </c:pt>
                <c:pt idx="2">
                  <c:v>7.7691725098336226</c:v>
                </c:pt>
                <c:pt idx="3">
                  <c:v>9.0184004460714213</c:v>
                </c:pt>
                <c:pt idx="4">
                  <c:v>9.9613176040940861</c:v>
                </c:pt>
              </c:numCache>
            </c:numRef>
          </c:val>
        </c:ser>
        <c:marker val="1"/>
        <c:axId val="157152768"/>
        <c:axId val="157154304"/>
      </c:lineChart>
      <c:catAx>
        <c:axId val="157152768"/>
        <c:scaling>
          <c:orientation val="minMax"/>
        </c:scaling>
        <c:axPos val="b"/>
        <c:tickLblPos val="nextTo"/>
        <c:crossAx val="157154304"/>
        <c:crosses val="autoZero"/>
        <c:auto val="1"/>
        <c:lblAlgn val="ctr"/>
        <c:lblOffset val="100"/>
      </c:catAx>
      <c:valAx>
        <c:axId val="157154304"/>
        <c:scaling>
          <c:orientation val="minMax"/>
        </c:scaling>
        <c:axPos val="l"/>
        <c:majorGridlines/>
        <c:numFmt formatCode="General" sourceLinked="1"/>
        <c:tickLblPos val="nextTo"/>
        <c:crossAx val="157152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Norfolk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6.967142857142858</c:v>
                </c:pt>
                <c:pt idx="1">
                  <c:v>7.3014285714285716</c:v>
                </c:pt>
                <c:pt idx="2">
                  <c:v>7.6971428571428584</c:v>
                </c:pt>
                <c:pt idx="3">
                  <c:v>7.8285714285714283</c:v>
                </c:pt>
                <c:pt idx="4">
                  <c:v>8.0142857142857142</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57192192"/>
        <c:axId val="157193728"/>
      </c:lineChart>
      <c:catAx>
        <c:axId val="157192192"/>
        <c:scaling>
          <c:orientation val="minMax"/>
        </c:scaling>
        <c:axPos val="b"/>
        <c:numFmt formatCode="General" sourceLinked="1"/>
        <c:tickLblPos val="nextTo"/>
        <c:crossAx val="157193728"/>
        <c:crosses val="autoZero"/>
        <c:auto val="1"/>
        <c:lblAlgn val="ctr"/>
        <c:lblOffset val="100"/>
      </c:catAx>
      <c:valAx>
        <c:axId val="157193728"/>
        <c:scaling>
          <c:orientation val="minMax"/>
        </c:scaling>
        <c:axPos val="l"/>
        <c:majorGridlines/>
        <c:numFmt formatCode="General" sourceLinked="1"/>
        <c:tickLblPos val="nextTo"/>
        <c:crossAx val="157192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Norfolk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6.5123172190851673</c:v>
                </c:pt>
                <c:pt idx="1">
                  <c:v>6.8076058185824033</c:v>
                </c:pt>
                <c:pt idx="2">
                  <c:v>7.1542857142857148</c:v>
                </c:pt>
                <c:pt idx="3">
                  <c:v>7.2897061466770667</c:v>
                </c:pt>
                <c:pt idx="4">
                  <c:v>7.5314285714285711</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57216128"/>
        <c:axId val="157299840"/>
      </c:lineChart>
      <c:catAx>
        <c:axId val="157216128"/>
        <c:scaling>
          <c:orientation val="minMax"/>
        </c:scaling>
        <c:axPos val="b"/>
        <c:numFmt formatCode="General" sourceLinked="1"/>
        <c:tickLblPos val="nextTo"/>
        <c:crossAx val="157299840"/>
        <c:crosses val="autoZero"/>
        <c:auto val="1"/>
        <c:lblAlgn val="ctr"/>
        <c:lblOffset val="100"/>
      </c:catAx>
      <c:valAx>
        <c:axId val="157299840"/>
        <c:scaling>
          <c:orientation val="minMax"/>
        </c:scaling>
        <c:axPos val="l"/>
        <c:majorGridlines/>
        <c:numFmt formatCode="General" sourceLinked="1"/>
        <c:tickLblPos val="nextTo"/>
        <c:crossAx val="157216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Norfolk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71.792857142857159</c:v>
                </c:pt>
                <c:pt idx="1">
                  <c:v>72.514285714285705</c:v>
                </c:pt>
                <c:pt idx="2">
                  <c:v>77.761428571428581</c:v>
                </c:pt>
                <c:pt idx="3">
                  <c:v>82.174285714285716</c:v>
                </c:pt>
                <c:pt idx="4">
                  <c:v>85.372857142857143</c:v>
                </c:pt>
                <c:pt idx="5">
                  <c:v>88.55714285714285</c:v>
                </c:pt>
                <c:pt idx="6">
                  <c:v>90.478671269708201</c:v>
                </c:pt>
                <c:pt idx="7">
                  <c:v>89.166303429092679</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57220864"/>
        <c:axId val="157222400"/>
      </c:lineChart>
      <c:catAx>
        <c:axId val="157220864"/>
        <c:scaling>
          <c:orientation val="minMax"/>
        </c:scaling>
        <c:axPos val="b"/>
        <c:numFmt formatCode="General" sourceLinked="1"/>
        <c:tickLblPos val="nextTo"/>
        <c:crossAx val="157222400"/>
        <c:crosses val="autoZero"/>
        <c:auto val="1"/>
        <c:lblAlgn val="ctr"/>
        <c:lblOffset val="100"/>
      </c:catAx>
      <c:valAx>
        <c:axId val="15722240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7220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Norfolk</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1.7702702702702702</c:v>
                </c:pt>
                <c:pt idx="1">
                  <c:v>1.9135135135135135</c:v>
                </c:pt>
                <c:pt idx="2">
                  <c:v>1.4767801857585139</c:v>
                </c:pt>
                <c:pt idx="3">
                  <c:v>1.5143041060329452</c:v>
                </c:pt>
                <c:pt idx="4">
                  <c:v>1.5261948877697955</c:v>
                </c:pt>
                <c:pt idx="5">
                  <c:v>1.5506805908636696</c:v>
                </c:pt>
                <c:pt idx="6">
                  <c:v>1.529990116674582</c:v>
                </c:pt>
              </c:numCache>
            </c:numRef>
          </c:val>
        </c:ser>
        <c:marker val="1"/>
        <c:axId val="157261824"/>
        <c:axId val="157263360"/>
      </c:lineChart>
      <c:catAx>
        <c:axId val="157261824"/>
        <c:scaling>
          <c:orientation val="minMax"/>
        </c:scaling>
        <c:axPos val="b"/>
        <c:tickLblPos val="nextTo"/>
        <c:crossAx val="157263360"/>
        <c:crosses val="autoZero"/>
        <c:auto val="1"/>
        <c:lblAlgn val="ctr"/>
        <c:lblOffset val="100"/>
      </c:catAx>
      <c:valAx>
        <c:axId val="157263360"/>
        <c:scaling>
          <c:orientation val="minMax"/>
        </c:scaling>
        <c:axPos val="l"/>
        <c:majorGridlines/>
        <c:numFmt formatCode="General" sourceLinked="1"/>
        <c:tickLblPos val="nextTo"/>
        <c:crossAx val="157261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Norfolk</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0.53783783783783778</c:v>
                </c:pt>
                <c:pt idx="1">
                  <c:v>0.41891891891891891</c:v>
                </c:pt>
                <c:pt idx="2">
                  <c:v>0.62538699690402477</c:v>
                </c:pt>
                <c:pt idx="3">
                  <c:v>0.71769298826324479</c:v>
                </c:pt>
                <c:pt idx="4">
                  <c:v>0.58277647255593212</c:v>
                </c:pt>
                <c:pt idx="5">
                  <c:v>0.61871896697231554</c:v>
                </c:pt>
                <c:pt idx="6">
                  <c:v>0.64434147531093977</c:v>
                </c:pt>
              </c:numCache>
            </c:numRef>
          </c:val>
        </c:ser>
        <c:marker val="1"/>
        <c:axId val="157355392"/>
        <c:axId val="157373568"/>
      </c:lineChart>
      <c:catAx>
        <c:axId val="157355392"/>
        <c:scaling>
          <c:orientation val="minMax"/>
        </c:scaling>
        <c:axPos val="b"/>
        <c:tickLblPos val="nextTo"/>
        <c:crossAx val="157373568"/>
        <c:crosses val="autoZero"/>
        <c:auto val="1"/>
        <c:lblAlgn val="ctr"/>
        <c:lblOffset val="100"/>
      </c:catAx>
      <c:valAx>
        <c:axId val="157373568"/>
        <c:scaling>
          <c:orientation val="minMax"/>
        </c:scaling>
        <c:axPos val="l"/>
        <c:majorGridlines/>
        <c:numFmt formatCode="General" sourceLinked="1"/>
        <c:tickLblPos val="nextTo"/>
        <c:crossAx val="157355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Norfolk</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0.80266887400607034</c:v>
                </c:pt>
                <c:pt idx="1">
                  <c:v>0.69693349263241744</c:v>
                </c:pt>
                <c:pt idx="2">
                  <c:v>1.0879509433029202</c:v>
                </c:pt>
                <c:pt idx="3">
                  <c:v>0.51631303321613853</c:v>
                </c:pt>
                <c:pt idx="4">
                  <c:v>0.41533312159487923</c:v>
                </c:pt>
                <c:pt idx="5">
                  <c:v>0.53334626293970766</c:v>
                </c:pt>
                <c:pt idx="6">
                  <c:v>0.60065832152038645</c:v>
                </c:pt>
                <c:pt idx="7">
                  <c:v>0.76884265154609466</c:v>
                </c:pt>
              </c:numCache>
            </c:numRef>
          </c:val>
        </c:ser>
        <c:marker val="1"/>
        <c:axId val="120588928"/>
        <c:axId val="120598912"/>
      </c:lineChart>
      <c:catAx>
        <c:axId val="120588928"/>
        <c:scaling>
          <c:orientation val="minMax"/>
        </c:scaling>
        <c:axPos val="b"/>
        <c:tickLblPos val="nextTo"/>
        <c:crossAx val="120598912"/>
        <c:crosses val="autoZero"/>
        <c:auto val="1"/>
        <c:lblAlgn val="ctr"/>
        <c:lblOffset val="100"/>
      </c:catAx>
      <c:valAx>
        <c:axId val="120598912"/>
        <c:scaling>
          <c:orientation val="minMax"/>
        </c:scaling>
        <c:axPos val="l"/>
        <c:majorGridlines/>
        <c:numFmt formatCode="General" sourceLinked="1"/>
        <c:tickLblPos val="nextTo"/>
        <c:crossAx val="120588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Norfolk</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7.5250206938069081E-2</c:v>
                </c:pt>
                <c:pt idx="1">
                  <c:v>0.12445240939864595</c:v>
                </c:pt>
                <c:pt idx="2">
                  <c:v>2.472615780233909E-2</c:v>
                </c:pt>
                <c:pt idx="3">
                  <c:v>0</c:v>
                </c:pt>
                <c:pt idx="4">
                  <c:v>0</c:v>
                </c:pt>
                <c:pt idx="5">
                  <c:v>0</c:v>
                </c:pt>
                <c:pt idx="6">
                  <c:v>0</c:v>
                </c:pt>
                <c:pt idx="7">
                  <c:v>2.4026332860815451E-2</c:v>
                </c:pt>
              </c:numCache>
            </c:numRef>
          </c:val>
        </c:ser>
        <c:marker val="1"/>
        <c:axId val="120629504"/>
        <c:axId val="120647680"/>
      </c:lineChart>
      <c:catAx>
        <c:axId val="120629504"/>
        <c:scaling>
          <c:orientation val="minMax"/>
        </c:scaling>
        <c:axPos val="b"/>
        <c:tickLblPos val="nextTo"/>
        <c:crossAx val="120647680"/>
        <c:crosses val="autoZero"/>
        <c:auto val="1"/>
        <c:lblAlgn val="ctr"/>
        <c:lblOffset val="100"/>
      </c:catAx>
      <c:valAx>
        <c:axId val="120647680"/>
        <c:scaling>
          <c:orientation val="minMax"/>
        </c:scaling>
        <c:axPos val="l"/>
        <c:majorGridlines/>
        <c:numFmt formatCode="General" sourceLinked="1"/>
        <c:tickLblPos val="nextTo"/>
        <c:crossAx val="120629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Norfolk</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5.1170140717886961</c:v>
                </c:pt>
                <c:pt idx="1">
                  <c:v>4.9283154121863797</c:v>
                </c:pt>
                <c:pt idx="2">
                  <c:v>6.1073609771777546</c:v>
                </c:pt>
                <c:pt idx="3">
                  <c:v>4.4009539497947037</c:v>
                </c:pt>
                <c:pt idx="4">
                  <c:v>5.5214873812025118</c:v>
                </c:pt>
                <c:pt idx="5">
                  <c:v>6.3516691313728835</c:v>
                </c:pt>
                <c:pt idx="6">
                  <c:v>7.4001105211311584</c:v>
                </c:pt>
                <c:pt idx="7">
                  <c:v>8.0247951755123612</c:v>
                </c:pt>
              </c:numCache>
            </c:numRef>
          </c:val>
        </c:ser>
        <c:marker val="1"/>
        <c:axId val="156731264"/>
        <c:axId val="156732800"/>
      </c:lineChart>
      <c:catAx>
        <c:axId val="156731264"/>
        <c:scaling>
          <c:orientation val="minMax"/>
        </c:scaling>
        <c:axPos val="b"/>
        <c:tickLblPos val="nextTo"/>
        <c:crossAx val="156732800"/>
        <c:crosses val="autoZero"/>
        <c:auto val="1"/>
        <c:lblAlgn val="ctr"/>
        <c:lblOffset val="100"/>
      </c:catAx>
      <c:valAx>
        <c:axId val="156732800"/>
        <c:scaling>
          <c:orientation val="minMax"/>
        </c:scaling>
        <c:axPos val="l"/>
        <c:majorGridlines/>
        <c:numFmt formatCode="General" sourceLinked="1"/>
        <c:tickLblPos val="nextTo"/>
        <c:crossAx val="156731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Norfolk</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5.7190157272932494</c:v>
                </c:pt>
                <c:pt idx="1">
                  <c:v>4.1069295101553163</c:v>
                </c:pt>
                <c:pt idx="2">
                  <c:v>4.3270776154093413</c:v>
                </c:pt>
                <c:pt idx="3">
                  <c:v>4.1550906006441624</c:v>
                </c:pt>
                <c:pt idx="4">
                  <c:v>4.5198016173560385</c:v>
                </c:pt>
                <c:pt idx="5">
                  <c:v>4.9455744381681974</c:v>
                </c:pt>
                <c:pt idx="6">
                  <c:v>5.7182672208740781</c:v>
                </c:pt>
                <c:pt idx="7">
                  <c:v>6.5351625381418037</c:v>
                </c:pt>
              </c:numCache>
            </c:numRef>
          </c:val>
        </c:ser>
        <c:marker val="1"/>
        <c:axId val="156763648"/>
        <c:axId val="156765184"/>
      </c:lineChart>
      <c:catAx>
        <c:axId val="156763648"/>
        <c:scaling>
          <c:orientation val="minMax"/>
        </c:scaling>
        <c:axPos val="b"/>
        <c:tickLblPos val="nextTo"/>
        <c:crossAx val="156765184"/>
        <c:crosses val="autoZero"/>
        <c:auto val="1"/>
        <c:lblAlgn val="ctr"/>
        <c:lblOffset val="100"/>
      </c:catAx>
      <c:valAx>
        <c:axId val="156765184"/>
        <c:scaling>
          <c:orientation val="minMax"/>
        </c:scaling>
        <c:axPos val="l"/>
        <c:majorGridlines/>
        <c:numFmt formatCode="General" sourceLinked="1"/>
        <c:tickLblPos val="nextTo"/>
        <c:crossAx val="156763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Norfolk</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0.95316928788220823</c:v>
                </c:pt>
                <c:pt idx="1">
                  <c:v>0.69693349263241744</c:v>
                </c:pt>
                <c:pt idx="2">
                  <c:v>1.0879509433029202</c:v>
                </c:pt>
                <c:pt idx="3">
                  <c:v>0.76217638236668062</c:v>
                </c:pt>
                <c:pt idx="4">
                  <c:v>0.61078400234541075</c:v>
                </c:pt>
                <c:pt idx="5">
                  <c:v>0.46061722708429298</c:v>
                </c:pt>
                <c:pt idx="6">
                  <c:v>0.55260565579875554</c:v>
                </c:pt>
                <c:pt idx="7">
                  <c:v>0.76884265154609466</c:v>
                </c:pt>
              </c:numCache>
            </c:numRef>
          </c:val>
        </c:ser>
        <c:marker val="1"/>
        <c:axId val="156812416"/>
        <c:axId val="156813952"/>
      </c:lineChart>
      <c:catAx>
        <c:axId val="156812416"/>
        <c:scaling>
          <c:orientation val="minMax"/>
        </c:scaling>
        <c:axPos val="b"/>
        <c:tickLblPos val="nextTo"/>
        <c:crossAx val="156813952"/>
        <c:crosses val="autoZero"/>
        <c:auto val="1"/>
        <c:lblAlgn val="ctr"/>
        <c:lblOffset val="100"/>
      </c:catAx>
      <c:valAx>
        <c:axId val="156813952"/>
        <c:scaling>
          <c:orientation val="minMax"/>
        </c:scaling>
        <c:axPos val="l"/>
        <c:majorGridlines/>
        <c:numFmt formatCode="General" sourceLinked="1"/>
        <c:tickLblPos val="nextTo"/>
        <c:crossAx val="156812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Norfolk</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2.5083402312689695E-2</c:v>
                </c:pt>
                <c:pt idx="1">
                  <c:v>0.19912385503783353</c:v>
                </c:pt>
                <c:pt idx="2">
                  <c:v>4.9452315604678193E-2</c:v>
                </c:pt>
                <c:pt idx="3">
                  <c:v>9.8345339660216871E-2</c:v>
                </c:pt>
                <c:pt idx="4">
                  <c:v>0</c:v>
                </c:pt>
                <c:pt idx="5">
                  <c:v>2.4243011951804897E-2</c:v>
                </c:pt>
                <c:pt idx="6">
                  <c:v>0</c:v>
                </c:pt>
                <c:pt idx="7">
                  <c:v>0</c:v>
                </c:pt>
              </c:numCache>
            </c:numRef>
          </c:val>
        </c:ser>
        <c:marker val="1"/>
        <c:axId val="156865280"/>
        <c:axId val="156866816"/>
      </c:lineChart>
      <c:catAx>
        <c:axId val="156865280"/>
        <c:scaling>
          <c:orientation val="minMax"/>
        </c:scaling>
        <c:axPos val="b"/>
        <c:tickLblPos val="nextTo"/>
        <c:crossAx val="156866816"/>
        <c:crosses val="autoZero"/>
        <c:auto val="1"/>
        <c:lblAlgn val="ctr"/>
        <c:lblOffset val="100"/>
      </c:catAx>
      <c:valAx>
        <c:axId val="156866816"/>
        <c:scaling>
          <c:orientation val="minMax"/>
        </c:scaling>
        <c:axPos val="l"/>
        <c:majorGridlines/>
        <c:numFmt formatCode="General" sourceLinked="1"/>
        <c:tickLblPos val="nextTo"/>
        <c:crossAx val="156865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Norfolk</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6.6972684174881483</c:v>
                </c:pt>
                <c:pt idx="1">
                  <c:v>5.0029868578255661</c:v>
                </c:pt>
                <c:pt idx="2">
                  <c:v>5.464480874316938</c:v>
                </c:pt>
                <c:pt idx="3">
                  <c:v>4.9910259877560064</c:v>
                </c:pt>
                <c:pt idx="4">
                  <c:v>5.1061542596076306</c:v>
                </c:pt>
                <c:pt idx="5">
                  <c:v>5.4304346772042944</c:v>
                </c:pt>
                <c:pt idx="6">
                  <c:v>6.2708728766728337</c:v>
                </c:pt>
                <c:pt idx="7">
                  <c:v>7.3040051896878975</c:v>
                </c:pt>
              </c:numCache>
            </c:numRef>
          </c:val>
        </c:ser>
        <c:marker val="1"/>
        <c:axId val="156897664"/>
        <c:axId val="156899200"/>
      </c:lineChart>
      <c:catAx>
        <c:axId val="156897664"/>
        <c:scaling>
          <c:orientation val="minMax"/>
        </c:scaling>
        <c:axPos val="b"/>
        <c:tickLblPos val="nextTo"/>
        <c:crossAx val="156899200"/>
        <c:crosses val="autoZero"/>
        <c:auto val="1"/>
        <c:lblAlgn val="ctr"/>
        <c:lblOffset val="100"/>
      </c:catAx>
      <c:valAx>
        <c:axId val="156899200"/>
        <c:scaling>
          <c:orientation val="minMax"/>
        </c:scaling>
        <c:axPos val="l"/>
        <c:majorGridlines/>
        <c:numFmt formatCode="General" sourceLinked="1"/>
        <c:tickLblPos val="nextTo"/>
        <c:crossAx val="156897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Norfolk</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4.4754345622233762</c:v>
                </c:pt>
                <c:pt idx="1">
                  <c:v>6.0482383891033367</c:v>
                </c:pt>
                <c:pt idx="2">
                  <c:v>6.5964672253304339</c:v>
                </c:pt>
                <c:pt idx="3">
                  <c:v>7.9517079201920051</c:v>
                </c:pt>
                <c:pt idx="4">
                  <c:v>8.6735061627543786</c:v>
                </c:pt>
              </c:numCache>
            </c:numRef>
          </c:val>
        </c:ser>
        <c:marker val="1"/>
        <c:axId val="156934144"/>
        <c:axId val="156935680"/>
      </c:lineChart>
      <c:catAx>
        <c:axId val="156934144"/>
        <c:scaling>
          <c:orientation val="minMax"/>
        </c:scaling>
        <c:axPos val="b"/>
        <c:tickLblPos val="nextTo"/>
        <c:crossAx val="156935680"/>
        <c:crosses val="autoZero"/>
        <c:auto val="1"/>
        <c:lblAlgn val="ctr"/>
        <c:lblOffset val="100"/>
      </c:catAx>
      <c:valAx>
        <c:axId val="156935680"/>
        <c:scaling>
          <c:orientation val="minMax"/>
        </c:scaling>
        <c:axPos val="l"/>
        <c:majorGridlines/>
        <c:numFmt formatCode="General" sourceLinked="1"/>
        <c:tickLblPos val="nextTo"/>
        <c:crossAx val="156934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BC82A-0A7E-49AF-94E1-41F0E54E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2018-04-30T16:02:00Z</dcterms:created>
  <dcterms:modified xsi:type="dcterms:W3CDTF">2018-05-04T13:14:00Z</dcterms:modified>
</cp:coreProperties>
</file>