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415F8">
      <w:r w:rsidRPr="002415F8">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E87D1C" w:rsidRDefault="00D5684A" w:rsidP="004D3814">
                  <w:pPr>
                    <w:jc w:val="right"/>
                    <w:rPr>
                      <w:rFonts w:ascii="Segoe UI" w:hAnsi="Segoe UI" w:cs="Segoe UI"/>
                      <w:b/>
                      <w:sz w:val="56"/>
                      <w:szCs w:val="72"/>
                      <w:u w:val="single"/>
                    </w:rPr>
                  </w:pPr>
                  <w:r w:rsidRPr="00E87D1C">
                    <w:rPr>
                      <w:rFonts w:ascii="Segoe UI" w:hAnsi="Segoe UI" w:cs="Segoe UI"/>
                      <w:b/>
                      <w:sz w:val="56"/>
                      <w:szCs w:val="72"/>
                      <w:u w:val="single"/>
                    </w:rPr>
                    <w:t>Nor</w:t>
                  </w:r>
                  <w:r w:rsidR="00E87D1C" w:rsidRPr="00E87D1C">
                    <w:rPr>
                      <w:rFonts w:ascii="Segoe UI" w:hAnsi="Segoe UI" w:cs="Segoe UI"/>
                      <w:b/>
                      <w:sz w:val="56"/>
                      <w:szCs w:val="72"/>
                      <w:u w:val="single"/>
                    </w:rPr>
                    <w:t>thamptonshire</w:t>
                  </w:r>
                  <w:r w:rsidR="00A769A7" w:rsidRPr="00E87D1C">
                    <w:rPr>
                      <w:rFonts w:ascii="Segoe UI" w:hAnsi="Segoe UI" w:cs="Segoe UI"/>
                      <w:b/>
                      <w:sz w:val="56"/>
                      <w:szCs w:val="72"/>
                      <w:u w:val="single"/>
                    </w:rPr>
                    <w:t xml:space="preserve"> </w:t>
                  </w:r>
                  <w:r w:rsidR="009579D3" w:rsidRPr="00E87D1C">
                    <w:rPr>
                      <w:rFonts w:ascii="Segoe UI" w:hAnsi="Segoe UI" w:cs="Segoe UI"/>
                      <w:b/>
                      <w:sz w:val="56"/>
                      <w:szCs w:val="72"/>
                      <w:u w:val="single"/>
                    </w:rPr>
                    <w:t>Housing Profile</w:t>
                  </w:r>
                </w:p>
                <w:p w:rsidR="009E1F4D" w:rsidRPr="00E87D1C" w:rsidRDefault="009E1F4D"/>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2415F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2415F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2415F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2415F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2415F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684A">
      <w:pPr>
        <w:rPr>
          <w:rFonts w:ascii="Segoe UI" w:hAnsi="Segoe UI" w:cs="Segoe UI"/>
        </w:rPr>
      </w:pPr>
      <w:r>
        <w:rPr>
          <w:rFonts w:ascii="Segoe UI" w:hAnsi="Segoe UI" w:cs="Segoe UI"/>
        </w:rPr>
        <w:t>Nor</w:t>
      </w:r>
      <w:r w:rsidR="00E87D1C">
        <w:rPr>
          <w:rFonts w:ascii="Segoe UI" w:hAnsi="Segoe UI" w:cs="Segoe UI"/>
        </w:rPr>
        <w:t>thamptonshire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E87D1C">
        <w:rPr>
          <w:rFonts w:ascii="Segoe UI" w:hAnsi="Segoe UI" w:cs="Segoe UI"/>
        </w:rPr>
        <w:t>3,420</w:t>
      </w:r>
      <w:r w:rsidR="00FA4ACC">
        <w:rPr>
          <w:rFonts w:ascii="Segoe UI" w:hAnsi="Segoe UI" w:cs="Segoe UI"/>
        </w:rPr>
        <w:t xml:space="preserve">, made up of </w:t>
      </w:r>
      <w:r w:rsidR="00E87D1C">
        <w:rPr>
          <w:rFonts w:ascii="Segoe UI" w:hAnsi="Segoe UI" w:cs="Segoe UI"/>
        </w:rPr>
        <w:t>2,66</w:t>
      </w:r>
      <w:r w:rsidR="003A632E">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sidR="00E87D1C">
        <w:rPr>
          <w:rFonts w:ascii="Segoe UI" w:hAnsi="Segoe UI" w:cs="Segoe UI"/>
        </w:rPr>
        <w:t>76</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E87D1C">
        <w:rPr>
          <w:rFonts w:ascii="Segoe UI" w:hAnsi="Segoe UI" w:cs="Segoe UI"/>
        </w:rPr>
        <w:t>311,820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6195D">
        <w:rPr>
          <w:rFonts w:ascii="Segoe UI" w:hAnsi="Segoe UI" w:cs="Segoe UI"/>
        </w:rPr>
        <w:t>Northamptonshire</w:t>
      </w:r>
      <w:r w:rsidR="002651E1">
        <w:rPr>
          <w:rFonts w:ascii="Segoe UI" w:hAnsi="Segoe UI" w:cs="Segoe UI"/>
        </w:rPr>
        <w:t xml:space="preserve"> </w:t>
      </w:r>
      <w:r w:rsidR="00465750">
        <w:rPr>
          <w:rFonts w:ascii="Segoe UI" w:hAnsi="Segoe UI" w:cs="Segoe UI"/>
        </w:rPr>
        <w:t xml:space="preserve">had net additions of </w:t>
      </w:r>
      <w:r w:rsidR="00F6195D">
        <w:rPr>
          <w:rFonts w:ascii="Segoe UI" w:hAnsi="Segoe UI" w:cs="Segoe UI"/>
        </w:rPr>
        <w:t>4,024</w:t>
      </w:r>
      <w:r w:rsidR="004A44E1">
        <w:rPr>
          <w:rFonts w:ascii="Segoe UI" w:hAnsi="Segoe UI" w:cs="Segoe UI"/>
        </w:rPr>
        <w:t xml:space="preserve"> dwellings</w:t>
      </w:r>
      <w:r w:rsidR="00465750">
        <w:rPr>
          <w:rFonts w:ascii="Segoe UI" w:hAnsi="Segoe UI" w:cs="Segoe UI"/>
        </w:rPr>
        <w:t xml:space="preserve"> comprised of </w:t>
      </w:r>
      <w:r w:rsidR="00F6195D">
        <w:rPr>
          <w:rFonts w:ascii="Segoe UI" w:hAnsi="Segoe UI" w:cs="Segoe UI"/>
        </w:rPr>
        <w:t>3,717</w:t>
      </w:r>
      <w:r w:rsidR="00465750">
        <w:rPr>
          <w:rFonts w:ascii="Segoe UI" w:hAnsi="Segoe UI" w:cs="Segoe UI"/>
        </w:rPr>
        <w:t xml:space="preserve"> new builds, </w:t>
      </w:r>
      <w:r w:rsidR="00F6195D">
        <w:rPr>
          <w:rFonts w:ascii="Segoe UI" w:hAnsi="Segoe UI" w:cs="Segoe UI"/>
        </w:rPr>
        <w:t>79</w:t>
      </w:r>
      <w:r w:rsidR="00465750">
        <w:rPr>
          <w:rFonts w:ascii="Segoe UI" w:hAnsi="Segoe UI" w:cs="Segoe UI"/>
        </w:rPr>
        <w:t xml:space="preserve"> conversations, </w:t>
      </w:r>
      <w:r w:rsidR="00F6195D">
        <w:rPr>
          <w:rFonts w:ascii="Segoe UI" w:hAnsi="Segoe UI" w:cs="Segoe UI"/>
        </w:rPr>
        <w:t>231</w:t>
      </w:r>
      <w:r w:rsidR="00465750">
        <w:rPr>
          <w:rFonts w:ascii="Segoe UI" w:hAnsi="Segoe UI" w:cs="Segoe UI"/>
        </w:rPr>
        <w:t xml:space="preserve"> change of use, and </w:t>
      </w:r>
      <w:r w:rsidR="00F6195D">
        <w:rPr>
          <w:rFonts w:ascii="Segoe UI" w:hAnsi="Segoe UI" w:cs="Segoe UI"/>
        </w:rPr>
        <w:t>11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6195D">
        <w:rPr>
          <w:rFonts w:ascii="Segoe UI" w:hAnsi="Segoe UI" w:cs="Segoe UI"/>
        </w:rPr>
        <w:t>Northamptonshire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F6195D">
        <w:rPr>
          <w:rFonts w:ascii="Segoe UI" w:hAnsi="Segoe UI" w:cs="Segoe UI"/>
        </w:rPr>
        <w:t>3.6</w:t>
      </w:r>
      <w:r>
        <w:rPr>
          <w:rFonts w:ascii="Segoe UI" w:hAnsi="Segoe UI" w:cs="Segoe UI"/>
        </w:rPr>
        <w:t>, the number of households accommodated in temporary accommodat</w:t>
      </w:r>
      <w:r w:rsidR="00F6195D">
        <w:rPr>
          <w:rFonts w:ascii="Segoe UI" w:hAnsi="Segoe UI" w:cs="Segoe UI"/>
        </w:rPr>
        <w:t>ion per 1,000 households was 1</w:t>
      </w:r>
      <w:r w:rsidR="009579D3">
        <w:rPr>
          <w:rFonts w:ascii="Segoe UI" w:hAnsi="Segoe UI" w:cs="Segoe UI"/>
        </w:rPr>
        <w:t>.1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415F8"/>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195D"/>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4.8291357859083135</c:v>
                </c:pt>
                <c:pt idx="2">
                  <c:v>3.9973351099267158</c:v>
                </c:pt>
                <c:pt idx="3">
                  <c:v>4.3340170713954853</c:v>
                </c:pt>
                <c:pt idx="4">
                  <c:v>7.1124221566699433</c:v>
                </c:pt>
                <c:pt idx="5">
                  <c:v>9.0531507560516573</c:v>
                </c:pt>
                <c:pt idx="6">
                  <c:v>9.0436790456032323</c:v>
                </c:pt>
                <c:pt idx="7">
                  <c:v>9.0436790456032323</c:v>
                </c:pt>
              </c:numCache>
            </c:numRef>
          </c:val>
        </c:ser>
        <c:marker val="1"/>
        <c:axId val="169654912"/>
        <c:axId val="169705856"/>
      </c:lineChart>
      <c:catAx>
        <c:axId val="169654912"/>
        <c:scaling>
          <c:orientation val="minMax"/>
        </c:scaling>
        <c:axPos val="b"/>
        <c:tickLblPos val="nextTo"/>
        <c:txPr>
          <a:bodyPr/>
          <a:lstStyle/>
          <a:p>
            <a:pPr>
              <a:defRPr sz="1000"/>
            </a:pPr>
            <a:endParaRPr lang="en-US"/>
          </a:p>
        </c:txPr>
        <c:crossAx val="169705856"/>
        <c:crosses val="autoZero"/>
        <c:auto val="1"/>
        <c:lblAlgn val="ctr"/>
        <c:lblOffset val="100"/>
      </c:catAx>
      <c:valAx>
        <c:axId val="169705856"/>
        <c:scaling>
          <c:orientation val="minMax"/>
        </c:scaling>
        <c:axPos val="l"/>
        <c:majorGridlines/>
        <c:numFmt formatCode="General" sourceLinked="1"/>
        <c:tickLblPos val="nextTo"/>
        <c:crossAx val="169654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0.23317788141239174</c:v>
                </c:pt>
                <c:pt idx="1">
                  <c:v>0.19850459868986967</c:v>
                </c:pt>
                <c:pt idx="2">
                  <c:v>0.26220911176663386</c:v>
                </c:pt>
                <c:pt idx="3">
                  <c:v>0.12979427607242519</c:v>
                </c:pt>
                <c:pt idx="4">
                  <c:v>0.2533512924122891</c:v>
                </c:pt>
              </c:numCache>
            </c:numRef>
          </c:val>
        </c:ser>
        <c:marker val="1"/>
        <c:axId val="170605568"/>
        <c:axId val="170615552"/>
      </c:lineChart>
      <c:catAx>
        <c:axId val="170605568"/>
        <c:scaling>
          <c:orientation val="minMax"/>
        </c:scaling>
        <c:axPos val="b"/>
        <c:tickLblPos val="nextTo"/>
        <c:crossAx val="170615552"/>
        <c:crosses val="autoZero"/>
        <c:auto val="1"/>
        <c:lblAlgn val="ctr"/>
        <c:lblOffset val="100"/>
      </c:catAx>
      <c:valAx>
        <c:axId val="170615552"/>
        <c:scaling>
          <c:orientation val="minMax"/>
        </c:scaling>
        <c:axPos val="l"/>
        <c:majorGridlines/>
        <c:numFmt formatCode="General" sourceLinked="1"/>
        <c:tickLblPos val="nextTo"/>
        <c:crossAx val="170605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0.36642238507661562</c:v>
                </c:pt>
                <c:pt idx="1">
                  <c:v>0.59551379606960897</c:v>
                </c:pt>
                <c:pt idx="2">
                  <c:v>0.91773189118321863</c:v>
                </c:pt>
                <c:pt idx="3">
                  <c:v>0.71386851839833865</c:v>
                </c:pt>
                <c:pt idx="4">
                  <c:v>0.74081200692707327</c:v>
                </c:pt>
              </c:numCache>
            </c:numRef>
          </c:val>
        </c:ser>
        <c:marker val="1"/>
        <c:axId val="170662528"/>
        <c:axId val="170676608"/>
      </c:lineChart>
      <c:catAx>
        <c:axId val="170662528"/>
        <c:scaling>
          <c:orientation val="minMax"/>
        </c:scaling>
        <c:axPos val="b"/>
        <c:tickLblPos val="nextTo"/>
        <c:crossAx val="170676608"/>
        <c:crosses val="autoZero"/>
        <c:auto val="1"/>
        <c:lblAlgn val="ctr"/>
        <c:lblOffset val="100"/>
      </c:catAx>
      <c:valAx>
        <c:axId val="170676608"/>
        <c:scaling>
          <c:orientation val="minMax"/>
        </c:scaling>
        <c:axPos val="l"/>
        <c:majorGridlines/>
        <c:numFmt formatCode="General" sourceLinked="1"/>
        <c:tickLblPos val="nextTo"/>
        <c:crossAx val="170662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2.5655827079725482E-2</c:v>
                </c:pt>
              </c:numCache>
            </c:numRef>
          </c:val>
        </c:ser>
        <c:marker val="1"/>
        <c:axId val="170699008"/>
        <c:axId val="170725376"/>
      </c:lineChart>
      <c:catAx>
        <c:axId val="170699008"/>
        <c:scaling>
          <c:orientation val="minMax"/>
        </c:scaling>
        <c:axPos val="b"/>
        <c:tickLblPos val="nextTo"/>
        <c:crossAx val="170725376"/>
        <c:crosses val="autoZero"/>
        <c:auto val="1"/>
        <c:lblAlgn val="ctr"/>
        <c:lblOffset val="100"/>
      </c:catAx>
      <c:valAx>
        <c:axId val="170725376"/>
        <c:scaling>
          <c:orientation val="minMax"/>
        </c:scaling>
        <c:axPos val="l"/>
        <c:majorGridlines/>
        <c:numFmt formatCode="General" sourceLinked="1"/>
        <c:tickLblPos val="nextTo"/>
        <c:crossAx val="170699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0.19986675549633579</c:v>
                </c:pt>
                <c:pt idx="1">
                  <c:v>0.29775689803480448</c:v>
                </c:pt>
                <c:pt idx="2">
                  <c:v>0.26220911176663386</c:v>
                </c:pt>
                <c:pt idx="3">
                  <c:v>0.2271399831267441</c:v>
                </c:pt>
                <c:pt idx="4">
                  <c:v>3.527676223462254E-2</c:v>
                </c:pt>
              </c:numCache>
            </c:numRef>
          </c:val>
        </c:ser>
        <c:marker val="1"/>
        <c:axId val="170735488"/>
        <c:axId val="170737024"/>
      </c:lineChart>
      <c:catAx>
        <c:axId val="170735488"/>
        <c:scaling>
          <c:orientation val="minMax"/>
        </c:scaling>
        <c:axPos val="b"/>
        <c:tickLblPos val="nextTo"/>
        <c:crossAx val="170737024"/>
        <c:crosses val="autoZero"/>
        <c:auto val="1"/>
        <c:lblAlgn val="ctr"/>
        <c:lblOffset val="100"/>
      </c:catAx>
      <c:valAx>
        <c:axId val="170737024"/>
        <c:scaling>
          <c:orientation val="minMax"/>
        </c:scaling>
        <c:axPos val="l"/>
        <c:majorGridlines/>
        <c:numFmt formatCode="General" sourceLinked="1"/>
        <c:tickLblPos val="nextTo"/>
        <c:crossAx val="170735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6.8620919387075281</c:v>
                </c:pt>
                <c:pt idx="1">
                  <c:v>9.3958843379871624</c:v>
                </c:pt>
                <c:pt idx="2">
                  <c:v>10.095050803015406</c:v>
                </c:pt>
                <c:pt idx="3">
                  <c:v>11.811279122590694</c:v>
                </c:pt>
                <c:pt idx="4">
                  <c:v>12.904881021101916</c:v>
                </c:pt>
              </c:numCache>
            </c:numRef>
          </c:val>
        </c:ser>
        <c:marker val="1"/>
        <c:axId val="170784256"/>
        <c:axId val="170785792"/>
      </c:lineChart>
      <c:catAx>
        <c:axId val="170784256"/>
        <c:scaling>
          <c:orientation val="minMax"/>
        </c:scaling>
        <c:axPos val="b"/>
        <c:tickLblPos val="nextTo"/>
        <c:crossAx val="170785792"/>
        <c:crosses val="autoZero"/>
        <c:auto val="1"/>
        <c:lblAlgn val="ctr"/>
        <c:lblOffset val="100"/>
      </c:catAx>
      <c:valAx>
        <c:axId val="170785792"/>
        <c:scaling>
          <c:orientation val="minMax"/>
        </c:scaling>
        <c:axPos val="l"/>
        <c:majorGridlines/>
        <c:numFmt formatCode="General" sourceLinked="1"/>
        <c:tickLblPos val="nextTo"/>
        <c:crossAx val="17078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Northamptonshire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6.5871428571428581</c:v>
                </c:pt>
                <c:pt idx="1">
                  <c:v>6.7257142857142851</c:v>
                </c:pt>
                <c:pt idx="2">
                  <c:v>7.2357142857142849</c:v>
                </c:pt>
                <c:pt idx="3">
                  <c:v>7.6857142857142851</c:v>
                </c:pt>
                <c:pt idx="4">
                  <c:v>8.2971428571428572</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70823680"/>
        <c:axId val="170825216"/>
      </c:lineChart>
      <c:catAx>
        <c:axId val="170823680"/>
        <c:scaling>
          <c:orientation val="minMax"/>
        </c:scaling>
        <c:axPos val="b"/>
        <c:numFmt formatCode="General" sourceLinked="1"/>
        <c:tickLblPos val="nextTo"/>
        <c:crossAx val="170825216"/>
        <c:crosses val="autoZero"/>
        <c:auto val="1"/>
        <c:lblAlgn val="ctr"/>
        <c:lblOffset val="100"/>
      </c:catAx>
      <c:valAx>
        <c:axId val="170825216"/>
        <c:scaling>
          <c:orientation val="minMax"/>
        </c:scaling>
        <c:axPos val="l"/>
        <c:majorGridlines/>
        <c:numFmt formatCode="General" sourceLinked="1"/>
        <c:tickLblPos val="nextTo"/>
        <c:crossAx val="170823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Northamptonshire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6.2537775987178046</c:v>
                </c:pt>
                <c:pt idx="1">
                  <c:v>6.2623330941397599</c:v>
                </c:pt>
                <c:pt idx="2">
                  <c:v>6.7200000000000006</c:v>
                </c:pt>
                <c:pt idx="3">
                  <c:v>7.2199961806710204</c:v>
                </c:pt>
                <c:pt idx="4">
                  <c:v>7.92</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70847616"/>
        <c:axId val="170931328"/>
      </c:lineChart>
      <c:catAx>
        <c:axId val="170847616"/>
        <c:scaling>
          <c:orientation val="minMax"/>
        </c:scaling>
        <c:axPos val="b"/>
        <c:numFmt formatCode="General" sourceLinked="1"/>
        <c:tickLblPos val="nextTo"/>
        <c:crossAx val="170931328"/>
        <c:crosses val="autoZero"/>
        <c:auto val="1"/>
        <c:lblAlgn val="ctr"/>
        <c:lblOffset val="100"/>
      </c:catAx>
      <c:valAx>
        <c:axId val="170931328"/>
        <c:scaling>
          <c:orientation val="minMax"/>
        </c:scaling>
        <c:axPos val="l"/>
        <c:majorGridlines/>
        <c:numFmt formatCode="General" sourceLinked="1"/>
        <c:tickLblPos val="nextTo"/>
        <c:crossAx val="170847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Northamptonshire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75.032857142857139</c:v>
                </c:pt>
                <c:pt idx="1">
                  <c:v>75.495714285714286</c:v>
                </c:pt>
                <c:pt idx="2">
                  <c:v>81.279999999999987</c:v>
                </c:pt>
                <c:pt idx="3">
                  <c:v>86.175714285714292</c:v>
                </c:pt>
                <c:pt idx="4">
                  <c:v>90.758571428571443</c:v>
                </c:pt>
                <c:pt idx="5">
                  <c:v>94.204285714285703</c:v>
                </c:pt>
                <c:pt idx="6">
                  <c:v>95.67893314290481</c:v>
                </c:pt>
                <c:pt idx="7">
                  <c:v>94.677718015490868</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70852352"/>
        <c:axId val="170853888"/>
      </c:lineChart>
      <c:catAx>
        <c:axId val="170852352"/>
        <c:scaling>
          <c:orientation val="minMax"/>
        </c:scaling>
        <c:axPos val="b"/>
        <c:numFmt formatCode="General" sourceLinked="1"/>
        <c:tickLblPos val="nextTo"/>
        <c:crossAx val="170853888"/>
        <c:crosses val="autoZero"/>
        <c:auto val="1"/>
        <c:lblAlgn val="ctr"/>
        <c:lblOffset val="100"/>
      </c:catAx>
      <c:valAx>
        <c:axId val="1708538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085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3.1678321678321679</c:v>
                </c:pt>
                <c:pt idx="1">
                  <c:v>3.9020979020979021</c:v>
                </c:pt>
                <c:pt idx="2">
                  <c:v>3.3092783505154637</c:v>
                </c:pt>
                <c:pt idx="3">
                  <c:v>2.7638284796566603</c:v>
                </c:pt>
                <c:pt idx="4">
                  <c:v>1.8371672023671581</c:v>
                </c:pt>
                <c:pt idx="5">
                  <c:v>2.3424105896894063</c:v>
                </c:pt>
                <c:pt idx="6">
                  <c:v>3.2560059223930664</c:v>
                </c:pt>
              </c:numCache>
            </c:numRef>
          </c:val>
        </c:ser>
        <c:marker val="1"/>
        <c:axId val="170897408"/>
        <c:axId val="170898944"/>
      </c:lineChart>
      <c:catAx>
        <c:axId val="170897408"/>
        <c:scaling>
          <c:orientation val="minMax"/>
        </c:scaling>
        <c:axPos val="b"/>
        <c:tickLblPos val="nextTo"/>
        <c:crossAx val="170898944"/>
        <c:crosses val="autoZero"/>
        <c:auto val="1"/>
        <c:lblAlgn val="ctr"/>
        <c:lblOffset val="100"/>
      </c:catAx>
      <c:valAx>
        <c:axId val="170898944"/>
        <c:scaling>
          <c:orientation val="minMax"/>
        </c:scaling>
        <c:axPos val="l"/>
        <c:majorGridlines/>
        <c:numFmt formatCode="General" sourceLinked="1"/>
        <c:tickLblPos val="nextTo"/>
        <c:crossAx val="17089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0.47552447552447552</c:v>
                </c:pt>
                <c:pt idx="1">
                  <c:v>0.46853146853146854</c:v>
                </c:pt>
                <c:pt idx="2">
                  <c:v>0.60481099656357384</c:v>
                </c:pt>
                <c:pt idx="3">
                  <c:v>0.66715972947626057</c:v>
                </c:pt>
                <c:pt idx="4">
                  <c:v>0.60702947674813179</c:v>
                </c:pt>
                <c:pt idx="5">
                  <c:v>0.73841260224174499</c:v>
                </c:pt>
                <c:pt idx="6">
                  <c:v>1.149756618470791</c:v>
                </c:pt>
              </c:numCache>
            </c:numRef>
          </c:val>
        </c:ser>
        <c:marker val="1"/>
        <c:axId val="170986880"/>
        <c:axId val="171005056"/>
      </c:lineChart>
      <c:catAx>
        <c:axId val="170986880"/>
        <c:scaling>
          <c:orientation val="minMax"/>
        </c:scaling>
        <c:axPos val="b"/>
        <c:tickLblPos val="nextTo"/>
        <c:crossAx val="171005056"/>
        <c:crosses val="autoZero"/>
        <c:auto val="1"/>
        <c:lblAlgn val="ctr"/>
        <c:lblOffset val="100"/>
      </c:catAx>
      <c:valAx>
        <c:axId val="171005056"/>
        <c:scaling>
          <c:orientation val="minMax"/>
        </c:scaling>
        <c:axPos val="l"/>
        <c:majorGridlines/>
        <c:numFmt formatCode="General" sourceLinked="1"/>
        <c:tickLblPos val="nextTo"/>
        <c:crossAx val="170986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0.87192729467789021</c:v>
                </c:pt>
                <c:pt idx="2">
                  <c:v>0.86608927381745504</c:v>
                </c:pt>
                <c:pt idx="3">
                  <c:v>1.4226162906107322</c:v>
                </c:pt>
                <c:pt idx="4">
                  <c:v>1.6060308095706328</c:v>
                </c:pt>
                <c:pt idx="5">
                  <c:v>2.1740541242131219</c:v>
                </c:pt>
                <c:pt idx="6">
                  <c:v>2.2448848694759804</c:v>
                </c:pt>
                <c:pt idx="7">
                  <c:v>2.0524661663780384</c:v>
                </c:pt>
              </c:numCache>
            </c:numRef>
          </c:val>
        </c:ser>
        <c:marker val="1"/>
        <c:axId val="134023808"/>
        <c:axId val="134029696"/>
      </c:lineChart>
      <c:catAx>
        <c:axId val="134023808"/>
        <c:scaling>
          <c:orientation val="minMax"/>
        </c:scaling>
        <c:axPos val="b"/>
        <c:tickLblPos val="nextTo"/>
        <c:crossAx val="134029696"/>
        <c:crosses val="autoZero"/>
        <c:auto val="1"/>
        <c:lblAlgn val="ctr"/>
        <c:lblOffset val="100"/>
      </c:catAx>
      <c:valAx>
        <c:axId val="134029696"/>
        <c:scaling>
          <c:orientation val="minMax"/>
        </c:scaling>
        <c:axPos val="l"/>
        <c:majorGridlines/>
        <c:numFmt formatCode="General" sourceLinked="1"/>
        <c:tickLblPos val="nextTo"/>
        <c:crossAx val="134023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0.2682853214393508</c:v>
                </c:pt>
                <c:pt idx="2">
                  <c:v>6.6622251832111942E-2</c:v>
                </c:pt>
                <c:pt idx="3">
                  <c:v>0.16542049890822474</c:v>
                </c:pt>
                <c:pt idx="4">
                  <c:v>3.2776138970829247E-2</c:v>
                </c:pt>
                <c:pt idx="5">
                  <c:v>0.16224284509053155</c:v>
                </c:pt>
                <c:pt idx="6">
                  <c:v>0</c:v>
                </c:pt>
                <c:pt idx="7">
                  <c:v>3.2069783849656856E-2</c:v>
                </c:pt>
              </c:numCache>
            </c:numRef>
          </c:val>
        </c:ser>
        <c:marker val="1"/>
        <c:axId val="134064384"/>
        <c:axId val="134078464"/>
      </c:lineChart>
      <c:catAx>
        <c:axId val="134064384"/>
        <c:scaling>
          <c:orientation val="minMax"/>
        </c:scaling>
        <c:axPos val="b"/>
        <c:tickLblPos val="nextTo"/>
        <c:crossAx val="134078464"/>
        <c:crosses val="autoZero"/>
        <c:auto val="1"/>
        <c:lblAlgn val="ctr"/>
        <c:lblOffset val="100"/>
      </c:catAx>
      <c:valAx>
        <c:axId val="134078464"/>
        <c:scaling>
          <c:orientation val="minMax"/>
        </c:scaling>
        <c:axPos val="l"/>
        <c:majorGridlines/>
        <c:numFmt formatCode="General" sourceLinked="1"/>
        <c:tickLblPos val="nextTo"/>
        <c:crossAx val="13406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5.9693484020255552</c:v>
                </c:pt>
                <c:pt idx="2">
                  <c:v>4.9300466355762822</c:v>
                </c:pt>
                <c:pt idx="3">
                  <c:v>5.9220538609144446</c:v>
                </c:pt>
                <c:pt idx="4">
                  <c:v>8.7512291052114026</c:v>
                </c:pt>
                <c:pt idx="5">
                  <c:v>11.389447725355314</c:v>
                </c:pt>
                <c:pt idx="6">
                  <c:v>11.320633698928871</c:v>
                </c:pt>
                <c:pt idx="7">
                  <c:v>11.128214995830925</c:v>
                </c:pt>
              </c:numCache>
            </c:numRef>
          </c:val>
        </c:ser>
        <c:marker val="1"/>
        <c:axId val="170362752"/>
        <c:axId val="170364288"/>
      </c:lineChart>
      <c:catAx>
        <c:axId val="170362752"/>
        <c:scaling>
          <c:orientation val="minMax"/>
        </c:scaling>
        <c:axPos val="b"/>
        <c:tickLblPos val="nextTo"/>
        <c:crossAx val="170364288"/>
        <c:crosses val="autoZero"/>
        <c:auto val="1"/>
        <c:lblAlgn val="ctr"/>
        <c:lblOffset val="100"/>
      </c:catAx>
      <c:valAx>
        <c:axId val="170364288"/>
        <c:scaling>
          <c:orientation val="minMax"/>
        </c:scaling>
        <c:axPos val="l"/>
        <c:majorGridlines/>
        <c:numFmt formatCode="General" sourceLinked="1"/>
        <c:tickLblPos val="nextTo"/>
        <c:crossAx val="170362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4.6949931251886374</c:v>
                </c:pt>
                <c:pt idx="2">
                  <c:v>4.1972018654230503</c:v>
                </c:pt>
                <c:pt idx="3">
                  <c:v>4.6648580692119346</c:v>
                </c:pt>
                <c:pt idx="4">
                  <c:v>5.8669288757784326</c:v>
                </c:pt>
                <c:pt idx="5">
                  <c:v>6.8790966318385367</c:v>
                </c:pt>
                <c:pt idx="6">
                  <c:v>8.145725097812841</c:v>
                </c:pt>
                <c:pt idx="7">
                  <c:v>8.5305625040087225</c:v>
                </c:pt>
              </c:numCache>
            </c:numRef>
          </c:val>
        </c:ser>
        <c:marker val="1"/>
        <c:axId val="170395136"/>
        <c:axId val="170396672"/>
      </c:lineChart>
      <c:catAx>
        <c:axId val="170395136"/>
        <c:scaling>
          <c:orientation val="minMax"/>
        </c:scaling>
        <c:axPos val="b"/>
        <c:tickLblPos val="nextTo"/>
        <c:crossAx val="170396672"/>
        <c:crosses val="autoZero"/>
        <c:auto val="1"/>
        <c:lblAlgn val="ctr"/>
        <c:lblOffset val="100"/>
      </c:catAx>
      <c:valAx>
        <c:axId val="170396672"/>
        <c:scaling>
          <c:orientation val="minMax"/>
        </c:scaling>
        <c:axPos val="l"/>
        <c:majorGridlines/>
        <c:numFmt formatCode="General" sourceLinked="1"/>
        <c:tickLblPos val="nextTo"/>
        <c:crossAx val="170395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1.2408196116569972</c:v>
                </c:pt>
                <c:pt idx="2">
                  <c:v>0.83277814790139904</c:v>
                </c:pt>
                <c:pt idx="3">
                  <c:v>1.2241116919208628</c:v>
                </c:pt>
                <c:pt idx="4">
                  <c:v>1.1143887250081941</c:v>
                </c:pt>
                <c:pt idx="5">
                  <c:v>1.7522227269777404</c:v>
                </c:pt>
                <c:pt idx="6">
                  <c:v>2.1486755179270092</c:v>
                </c:pt>
                <c:pt idx="7">
                  <c:v>2.4373035725739212</c:v>
                </c:pt>
              </c:numCache>
            </c:numRef>
          </c:val>
        </c:ser>
        <c:marker val="1"/>
        <c:axId val="170443904"/>
        <c:axId val="170445440"/>
      </c:lineChart>
      <c:catAx>
        <c:axId val="170443904"/>
        <c:scaling>
          <c:orientation val="minMax"/>
        </c:scaling>
        <c:axPos val="b"/>
        <c:tickLblPos val="nextTo"/>
        <c:crossAx val="170445440"/>
        <c:crosses val="autoZero"/>
        <c:auto val="1"/>
        <c:lblAlgn val="ctr"/>
        <c:lblOffset val="100"/>
      </c:catAx>
      <c:valAx>
        <c:axId val="170445440"/>
        <c:scaling>
          <c:orientation val="minMax"/>
        </c:scaling>
        <c:axPos val="l"/>
        <c:majorGridlines/>
        <c:numFmt formatCode="General" sourceLinked="1"/>
        <c:tickLblPos val="nextTo"/>
        <c:crossAx val="17044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0.13414266071967537</c:v>
                </c:pt>
                <c:pt idx="2">
                  <c:v>0.13324450366422388</c:v>
                </c:pt>
                <c:pt idx="3">
                  <c:v>3.3084099781644942E-2</c:v>
                </c:pt>
                <c:pt idx="4">
                  <c:v>0</c:v>
                </c:pt>
                <c:pt idx="5">
                  <c:v>3.2448569018106298E-2</c:v>
                </c:pt>
                <c:pt idx="6">
                  <c:v>0.12827913539862743</c:v>
                </c:pt>
                <c:pt idx="7">
                  <c:v>0</c:v>
                </c:pt>
              </c:numCache>
            </c:numRef>
          </c:val>
        </c:ser>
        <c:marker val="1"/>
        <c:axId val="170496768"/>
        <c:axId val="170498304"/>
      </c:lineChart>
      <c:catAx>
        <c:axId val="170496768"/>
        <c:scaling>
          <c:orientation val="minMax"/>
        </c:scaling>
        <c:axPos val="b"/>
        <c:tickLblPos val="nextTo"/>
        <c:crossAx val="170498304"/>
        <c:crosses val="autoZero"/>
        <c:auto val="1"/>
        <c:lblAlgn val="ctr"/>
        <c:lblOffset val="100"/>
      </c:catAx>
      <c:valAx>
        <c:axId val="170498304"/>
        <c:scaling>
          <c:orientation val="minMax"/>
        </c:scaling>
        <c:axPos val="l"/>
        <c:majorGridlines/>
        <c:numFmt formatCode="General" sourceLinked="1"/>
        <c:tickLblPos val="nextTo"/>
        <c:crossAx val="170496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6.0364197323853919</c:v>
                </c:pt>
                <c:pt idx="2">
                  <c:v>5.1632245169886746</c:v>
                </c:pt>
                <c:pt idx="3">
                  <c:v>5.9551379606960886</c:v>
                </c:pt>
                <c:pt idx="4">
                  <c:v>6.9813176007866282</c:v>
                </c:pt>
                <c:pt idx="5">
                  <c:v>8.631319358816274</c:v>
                </c:pt>
                <c:pt idx="6">
                  <c:v>10.422679751138475</c:v>
                </c:pt>
                <c:pt idx="7">
                  <c:v>10.967866076582649</c:v>
                </c:pt>
              </c:numCache>
            </c:numRef>
          </c:val>
        </c:ser>
        <c:marker val="1"/>
        <c:axId val="170529152"/>
        <c:axId val="170530688"/>
      </c:lineChart>
      <c:catAx>
        <c:axId val="170529152"/>
        <c:scaling>
          <c:orientation val="minMax"/>
        </c:scaling>
        <c:axPos val="b"/>
        <c:tickLblPos val="nextTo"/>
        <c:crossAx val="170530688"/>
        <c:crosses val="autoZero"/>
        <c:auto val="1"/>
        <c:lblAlgn val="ctr"/>
        <c:lblOffset val="100"/>
      </c:catAx>
      <c:valAx>
        <c:axId val="170530688"/>
        <c:scaling>
          <c:orientation val="minMax"/>
        </c:scaling>
        <c:axPos val="l"/>
        <c:majorGridlines/>
        <c:numFmt formatCode="General" sourceLinked="1"/>
        <c:tickLblPos val="nextTo"/>
        <c:crossAx val="17052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Northamptonshire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6.4623584277148574</c:v>
                </c:pt>
                <c:pt idx="1">
                  <c:v>8.8996228412624898</c:v>
                </c:pt>
                <c:pt idx="2">
                  <c:v>9.1445427728613566</c:v>
                </c:pt>
                <c:pt idx="3">
                  <c:v>11.194756311246675</c:v>
                </c:pt>
                <c:pt idx="4">
                  <c:v>11.920338656917451</c:v>
                </c:pt>
              </c:numCache>
            </c:numRef>
          </c:val>
        </c:ser>
        <c:marker val="1"/>
        <c:axId val="170569728"/>
        <c:axId val="170571264"/>
      </c:lineChart>
      <c:catAx>
        <c:axId val="170569728"/>
        <c:scaling>
          <c:orientation val="minMax"/>
        </c:scaling>
        <c:axPos val="b"/>
        <c:tickLblPos val="nextTo"/>
        <c:crossAx val="170571264"/>
        <c:crosses val="autoZero"/>
        <c:auto val="1"/>
        <c:lblAlgn val="ctr"/>
        <c:lblOffset val="100"/>
      </c:catAx>
      <c:valAx>
        <c:axId val="170571264"/>
        <c:scaling>
          <c:orientation val="minMax"/>
        </c:scaling>
        <c:axPos val="l"/>
        <c:majorGridlines/>
        <c:numFmt formatCode="General" sourceLinked="1"/>
        <c:tickLblPos val="nextTo"/>
        <c:crossAx val="170569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F82A2-6795-4497-A970-F2941A1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2018-04-30T16:06:00Z</dcterms:created>
  <dcterms:modified xsi:type="dcterms:W3CDTF">2018-05-04T14:08:00Z</dcterms:modified>
</cp:coreProperties>
</file>