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65344">
      <w:r w:rsidRPr="00765344">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765862" w:rsidP="004D3814">
                  <w:pPr>
                    <w:jc w:val="right"/>
                    <w:rPr>
                      <w:rFonts w:ascii="Segoe UI" w:hAnsi="Segoe UI" w:cs="Segoe UI"/>
                      <w:b/>
                      <w:sz w:val="72"/>
                      <w:szCs w:val="72"/>
                      <w:u w:val="single"/>
                    </w:rPr>
                  </w:pPr>
                  <w:r>
                    <w:rPr>
                      <w:rFonts w:ascii="Segoe UI" w:hAnsi="Segoe UI" w:cs="Segoe UI"/>
                      <w:b/>
                      <w:sz w:val="72"/>
                      <w:szCs w:val="72"/>
                      <w:u w:val="single"/>
                    </w:rPr>
                    <w:t>R</w:t>
                  </w:r>
                  <w:r w:rsidR="000D61FF">
                    <w:rPr>
                      <w:rFonts w:ascii="Segoe UI" w:hAnsi="Segoe UI" w:cs="Segoe UI"/>
                      <w:b/>
                      <w:sz w:val="72"/>
                      <w:szCs w:val="72"/>
                      <w:u w:val="single"/>
                    </w:rPr>
                    <w:t>other</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65344"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65344"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65344"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65344"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65344"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F0C5E">
      <w:pPr>
        <w:rPr>
          <w:rFonts w:ascii="Segoe UI" w:hAnsi="Segoe UI" w:cs="Segoe UI"/>
        </w:rPr>
      </w:pPr>
      <w:r>
        <w:rPr>
          <w:rFonts w:ascii="Segoe UI" w:hAnsi="Segoe UI" w:cs="Segoe UI"/>
        </w:rPr>
        <w:t>R</w:t>
      </w:r>
      <w:r w:rsidR="000D61FF">
        <w:rPr>
          <w:rFonts w:ascii="Segoe UI" w:hAnsi="Segoe UI" w:cs="Segoe UI"/>
        </w:rPr>
        <w:t>other</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0D61FF">
        <w:rPr>
          <w:rFonts w:ascii="Segoe UI" w:hAnsi="Segoe UI" w:cs="Segoe UI"/>
        </w:rPr>
        <w:t>22</w:t>
      </w:r>
      <w:r w:rsidR="005D1AC4">
        <w:rPr>
          <w:rFonts w:ascii="Segoe UI" w:hAnsi="Segoe UI" w:cs="Segoe UI"/>
        </w:rPr>
        <w:t>0</w:t>
      </w:r>
      <w:r w:rsidR="00FA4ACC">
        <w:rPr>
          <w:rFonts w:ascii="Segoe UI" w:hAnsi="Segoe UI" w:cs="Segoe UI"/>
        </w:rPr>
        <w:t xml:space="preserve">, made up of </w:t>
      </w:r>
      <w:r w:rsidR="000D61FF">
        <w:rPr>
          <w:rFonts w:ascii="Segoe UI" w:hAnsi="Segoe UI" w:cs="Segoe UI"/>
        </w:rPr>
        <w:t>17</w:t>
      </w:r>
      <w:r w:rsidR="00FA4ACC">
        <w:rPr>
          <w:rFonts w:ascii="Segoe UI" w:hAnsi="Segoe UI" w:cs="Segoe UI"/>
        </w:rPr>
        <w:t>0 private enterprise builds</w:t>
      </w:r>
      <w:r w:rsidR="0029760B">
        <w:rPr>
          <w:rFonts w:ascii="Segoe UI" w:hAnsi="Segoe UI" w:cs="Segoe UI"/>
        </w:rPr>
        <w:t xml:space="preserve"> and</w:t>
      </w:r>
      <w:r w:rsidR="00C17666">
        <w:rPr>
          <w:rFonts w:ascii="Segoe UI" w:hAnsi="Segoe UI" w:cs="Segoe UI"/>
        </w:rPr>
        <w:t xml:space="preserve"> </w:t>
      </w:r>
      <w:r w:rsidR="000D61FF">
        <w:rPr>
          <w:rFonts w:ascii="Segoe UI" w:hAnsi="Segoe UI" w:cs="Segoe UI"/>
        </w:rPr>
        <w:t>5</w:t>
      </w:r>
      <w:r w:rsidR="00975AAE">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0D61FF">
        <w:rPr>
          <w:rFonts w:ascii="Segoe UI" w:hAnsi="Segoe UI" w:cs="Segoe UI"/>
        </w:rPr>
        <w:t>44,880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61791">
        <w:rPr>
          <w:rFonts w:ascii="Segoe UI" w:hAnsi="Segoe UI" w:cs="Segoe UI"/>
        </w:rPr>
        <w:t>Rother</w:t>
      </w:r>
      <w:r w:rsidR="002651E1">
        <w:rPr>
          <w:rFonts w:ascii="Segoe UI" w:hAnsi="Segoe UI" w:cs="Segoe UI"/>
        </w:rPr>
        <w:t xml:space="preserve"> </w:t>
      </w:r>
      <w:r w:rsidR="00465750">
        <w:rPr>
          <w:rFonts w:ascii="Segoe UI" w:hAnsi="Segoe UI" w:cs="Segoe UI"/>
        </w:rPr>
        <w:t xml:space="preserve">had net additions of </w:t>
      </w:r>
      <w:r w:rsidR="00161791">
        <w:rPr>
          <w:rFonts w:ascii="Segoe UI" w:hAnsi="Segoe UI" w:cs="Segoe UI"/>
        </w:rPr>
        <w:t>283</w:t>
      </w:r>
      <w:r w:rsidR="004A44E1">
        <w:rPr>
          <w:rFonts w:ascii="Segoe UI" w:hAnsi="Segoe UI" w:cs="Segoe UI"/>
        </w:rPr>
        <w:t xml:space="preserve"> dwellings</w:t>
      </w:r>
      <w:r w:rsidR="00465750">
        <w:rPr>
          <w:rFonts w:ascii="Segoe UI" w:hAnsi="Segoe UI" w:cs="Segoe UI"/>
        </w:rPr>
        <w:t xml:space="preserve"> comprised of </w:t>
      </w:r>
      <w:r w:rsidR="00161791">
        <w:rPr>
          <w:rFonts w:ascii="Segoe UI" w:hAnsi="Segoe UI" w:cs="Segoe UI"/>
        </w:rPr>
        <w:t>243</w:t>
      </w:r>
      <w:r w:rsidR="00465750">
        <w:rPr>
          <w:rFonts w:ascii="Segoe UI" w:hAnsi="Segoe UI" w:cs="Segoe UI"/>
        </w:rPr>
        <w:t xml:space="preserve"> new builds, </w:t>
      </w:r>
      <w:r w:rsidR="00161791">
        <w:rPr>
          <w:rFonts w:ascii="Segoe UI" w:hAnsi="Segoe UI" w:cs="Segoe UI"/>
        </w:rPr>
        <w:t>6</w:t>
      </w:r>
      <w:r w:rsidR="00465750">
        <w:rPr>
          <w:rFonts w:ascii="Segoe UI" w:hAnsi="Segoe UI" w:cs="Segoe UI"/>
        </w:rPr>
        <w:t xml:space="preserve"> conversations, </w:t>
      </w:r>
      <w:r w:rsidR="00161791">
        <w:rPr>
          <w:rFonts w:ascii="Segoe UI" w:hAnsi="Segoe UI" w:cs="Segoe UI"/>
        </w:rPr>
        <w:t>49</w:t>
      </w:r>
      <w:r w:rsidR="00465750">
        <w:rPr>
          <w:rFonts w:ascii="Segoe UI" w:hAnsi="Segoe UI" w:cs="Segoe UI"/>
        </w:rPr>
        <w:t xml:space="preserve"> change of use, and </w:t>
      </w:r>
      <w:r w:rsidR="00161791">
        <w:rPr>
          <w:rFonts w:ascii="Segoe UI" w:hAnsi="Segoe UI" w:cs="Segoe UI"/>
        </w:rPr>
        <w:t>15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61791">
        <w:rPr>
          <w:rFonts w:ascii="Segoe UI" w:hAnsi="Segoe UI" w:cs="Segoe UI"/>
        </w:rPr>
        <w:t>Rother</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161791">
        <w:rPr>
          <w:rFonts w:ascii="Segoe UI" w:hAnsi="Segoe UI" w:cs="Segoe UI"/>
        </w:rPr>
        <w:t>2.6</w:t>
      </w:r>
      <w:r>
        <w:rPr>
          <w:rFonts w:ascii="Segoe UI" w:hAnsi="Segoe UI" w:cs="Segoe UI"/>
        </w:rPr>
        <w:t>, the number of households accommodated in temporary accommodat</w:t>
      </w:r>
      <w:r w:rsidR="00161791">
        <w:rPr>
          <w:rFonts w:ascii="Segoe UI" w:hAnsi="Segoe UI" w:cs="Segoe UI"/>
        </w:rPr>
        <w:t>ion per 1,000 households was 0.8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179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344"/>
    <w:rsid w:val="00765529"/>
    <w:rsid w:val="00765862"/>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1.8285714285714285</c:v>
                </c:pt>
                <c:pt idx="1">
                  <c:v>#N/A</c:v>
                </c:pt>
                <c:pt idx="2">
                  <c:v>3.3944331296673451</c:v>
                </c:pt>
                <c:pt idx="3">
                  <c:v>2.2578460149017832</c:v>
                </c:pt>
                <c:pt idx="4">
                  <c:v>2.9246344206974131</c:v>
                </c:pt>
                <c:pt idx="5">
                  <c:v>3.3609679587721266</c:v>
                </c:pt>
                <c:pt idx="6">
                  <c:v>3.7878787878787881</c:v>
                </c:pt>
                <c:pt idx="7">
                  <c:v>3.342245989304812</c:v>
                </c:pt>
              </c:numCache>
            </c:numRef>
          </c:val>
        </c:ser>
        <c:marker val="1"/>
        <c:axId val="148814464"/>
        <c:axId val="175866240"/>
      </c:lineChart>
      <c:catAx>
        <c:axId val="148814464"/>
        <c:scaling>
          <c:orientation val="minMax"/>
        </c:scaling>
        <c:axPos val="b"/>
        <c:tickLblPos val="nextTo"/>
        <c:txPr>
          <a:bodyPr/>
          <a:lstStyle/>
          <a:p>
            <a:pPr>
              <a:defRPr sz="1000"/>
            </a:pPr>
            <a:endParaRPr lang="en-US"/>
          </a:p>
        </c:txPr>
        <c:crossAx val="175866240"/>
        <c:crosses val="autoZero"/>
        <c:auto val="1"/>
        <c:lblAlgn val="ctr"/>
        <c:lblOffset val="100"/>
      </c:catAx>
      <c:valAx>
        <c:axId val="175866240"/>
        <c:scaling>
          <c:orientation val="minMax"/>
        </c:scaling>
        <c:axPos val="l"/>
        <c:majorGridlines/>
        <c:numFmt formatCode="General" sourceLinked="1"/>
        <c:tickLblPos val="nextTo"/>
        <c:crossAx val="148814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0.22629554197782303</c:v>
                </c:pt>
                <c:pt idx="1">
                  <c:v>0</c:v>
                </c:pt>
                <c:pt idx="2">
                  <c:v>0</c:v>
                </c:pt>
                <c:pt idx="3">
                  <c:v>0.22406453058480844</c:v>
                </c:pt>
                <c:pt idx="4">
                  <c:v>0.13368983957219252</c:v>
                </c:pt>
              </c:numCache>
            </c:numRef>
          </c:val>
        </c:ser>
        <c:marker val="1"/>
        <c:axId val="176765952"/>
        <c:axId val="176775936"/>
      </c:lineChart>
      <c:catAx>
        <c:axId val="176765952"/>
        <c:scaling>
          <c:orientation val="minMax"/>
        </c:scaling>
        <c:axPos val="b"/>
        <c:tickLblPos val="nextTo"/>
        <c:crossAx val="176775936"/>
        <c:crosses val="autoZero"/>
        <c:auto val="1"/>
        <c:lblAlgn val="ctr"/>
        <c:lblOffset val="100"/>
      </c:catAx>
      <c:valAx>
        <c:axId val="176775936"/>
        <c:scaling>
          <c:orientation val="minMax"/>
        </c:scaling>
        <c:axPos val="l"/>
        <c:majorGridlines/>
        <c:numFmt formatCode="General" sourceLinked="1"/>
        <c:tickLblPos val="nextTo"/>
        <c:crossAx val="17676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0.22629554197782303</c:v>
                </c:pt>
                <c:pt idx="1">
                  <c:v>0.22578460149017837</c:v>
                </c:pt>
                <c:pt idx="2">
                  <c:v>0.44994375703037121</c:v>
                </c:pt>
                <c:pt idx="3">
                  <c:v>0.67219359175442528</c:v>
                </c:pt>
                <c:pt idx="4">
                  <c:v>1.0918003565062389</c:v>
                </c:pt>
              </c:numCache>
            </c:numRef>
          </c:val>
        </c:ser>
        <c:marker val="1"/>
        <c:axId val="176818816"/>
        <c:axId val="176836992"/>
      </c:lineChart>
      <c:catAx>
        <c:axId val="176818816"/>
        <c:scaling>
          <c:orientation val="minMax"/>
        </c:scaling>
        <c:axPos val="b"/>
        <c:tickLblPos val="nextTo"/>
        <c:crossAx val="176836992"/>
        <c:crosses val="autoZero"/>
        <c:auto val="1"/>
        <c:lblAlgn val="ctr"/>
        <c:lblOffset val="100"/>
      </c:catAx>
      <c:valAx>
        <c:axId val="176836992"/>
        <c:scaling>
          <c:orientation val="minMax"/>
        </c:scaling>
        <c:axPos val="l"/>
        <c:majorGridlines/>
        <c:numFmt formatCode="General" sourceLinked="1"/>
        <c:tickLblPos val="nextTo"/>
        <c:crossAx val="176818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6859392"/>
        <c:axId val="176885760"/>
      </c:lineChart>
      <c:catAx>
        <c:axId val="176859392"/>
        <c:scaling>
          <c:orientation val="minMax"/>
        </c:scaling>
        <c:axPos val="b"/>
        <c:tickLblPos val="nextTo"/>
        <c:crossAx val="176885760"/>
        <c:crosses val="autoZero"/>
        <c:auto val="1"/>
        <c:lblAlgn val="ctr"/>
        <c:lblOffset val="100"/>
      </c:catAx>
      <c:valAx>
        <c:axId val="176885760"/>
        <c:scaling>
          <c:orientation val="minMax"/>
        </c:scaling>
        <c:axPos val="l"/>
        <c:majorGridlines/>
        <c:numFmt formatCode="General" sourceLinked="1"/>
        <c:tickLblPos val="nextTo"/>
        <c:crossAx val="176859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0.89625812233923374</c:v>
                </c:pt>
                <c:pt idx="4">
                  <c:v>0.33422459893048129</c:v>
                </c:pt>
              </c:numCache>
            </c:numRef>
          </c:val>
        </c:ser>
        <c:marker val="1"/>
        <c:axId val="176895872"/>
        <c:axId val="176897408"/>
      </c:lineChart>
      <c:catAx>
        <c:axId val="176895872"/>
        <c:scaling>
          <c:orientation val="minMax"/>
        </c:scaling>
        <c:axPos val="b"/>
        <c:tickLblPos val="nextTo"/>
        <c:crossAx val="176897408"/>
        <c:crosses val="autoZero"/>
        <c:auto val="1"/>
        <c:lblAlgn val="ctr"/>
        <c:lblOffset val="100"/>
      </c:catAx>
      <c:valAx>
        <c:axId val="176897408"/>
        <c:scaling>
          <c:orientation val="minMax"/>
        </c:scaling>
        <c:axPos val="l"/>
        <c:majorGridlines/>
        <c:numFmt formatCode="General" sourceLinked="1"/>
        <c:tickLblPos val="nextTo"/>
        <c:crossAx val="176895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2.2629554197782307</c:v>
                </c:pt>
                <c:pt idx="1">
                  <c:v>3.6125536238428539</c:v>
                </c:pt>
                <c:pt idx="2">
                  <c:v>4.0494938132733402</c:v>
                </c:pt>
                <c:pt idx="3">
                  <c:v>5.6016132646202106</c:v>
                </c:pt>
                <c:pt idx="4">
                  <c:v>6.3057040998217468</c:v>
                </c:pt>
              </c:numCache>
            </c:numRef>
          </c:val>
        </c:ser>
        <c:marker val="1"/>
        <c:axId val="176944640"/>
        <c:axId val="176946176"/>
      </c:lineChart>
      <c:catAx>
        <c:axId val="176944640"/>
        <c:scaling>
          <c:orientation val="minMax"/>
        </c:scaling>
        <c:axPos val="b"/>
        <c:tickLblPos val="nextTo"/>
        <c:crossAx val="176946176"/>
        <c:crosses val="autoZero"/>
        <c:auto val="1"/>
        <c:lblAlgn val="ctr"/>
        <c:lblOffset val="100"/>
      </c:catAx>
      <c:valAx>
        <c:axId val="176946176"/>
        <c:scaling>
          <c:orientation val="minMax"/>
        </c:scaling>
        <c:axPos val="l"/>
        <c:majorGridlines/>
        <c:numFmt formatCode="General" sourceLinked="1"/>
        <c:tickLblPos val="nextTo"/>
        <c:crossAx val="176944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Rother</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9.99</c:v>
                </c:pt>
                <c:pt idx="1">
                  <c:v>10.029999999999999</c:v>
                </c:pt>
                <c:pt idx="2">
                  <c:v>10.44</c:v>
                </c:pt>
                <c:pt idx="3">
                  <c:v>10.15</c:v>
                </c:pt>
                <c:pt idx="4">
                  <c:v>10.4</c:v>
                </c:pt>
              </c:numCache>
            </c:numRef>
          </c:val>
        </c:ser>
        <c:marker val="1"/>
        <c:axId val="176984064"/>
        <c:axId val="176985600"/>
      </c:lineChart>
      <c:catAx>
        <c:axId val="176984064"/>
        <c:scaling>
          <c:orientation val="minMax"/>
        </c:scaling>
        <c:axPos val="b"/>
        <c:numFmt formatCode="General" sourceLinked="1"/>
        <c:tickLblPos val="nextTo"/>
        <c:crossAx val="176985600"/>
        <c:crosses val="autoZero"/>
        <c:auto val="1"/>
        <c:lblAlgn val="ctr"/>
        <c:lblOffset val="100"/>
      </c:catAx>
      <c:valAx>
        <c:axId val="176985600"/>
        <c:scaling>
          <c:orientation val="minMax"/>
        </c:scaling>
        <c:axPos val="l"/>
        <c:majorGridlines/>
        <c:numFmt formatCode="General" sourceLinked="1"/>
        <c:tickLblPos val="nextTo"/>
        <c:crossAx val="176984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Rother</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10.09678019728271</c:v>
                </c:pt>
                <c:pt idx="1">
                  <c:v>10.532721655275724</c:v>
                </c:pt>
                <c:pt idx="2">
                  <c:v>11.05</c:v>
                </c:pt>
                <c:pt idx="3">
                  <c:v>11.352578657152124</c:v>
                </c:pt>
                <c:pt idx="4">
                  <c:v>11.94</c:v>
                </c:pt>
              </c:numCache>
            </c:numRef>
          </c:val>
        </c:ser>
        <c:marker val="1"/>
        <c:axId val="177008000"/>
        <c:axId val="177091712"/>
      </c:lineChart>
      <c:catAx>
        <c:axId val="177008000"/>
        <c:scaling>
          <c:orientation val="minMax"/>
        </c:scaling>
        <c:axPos val="b"/>
        <c:numFmt formatCode="General" sourceLinked="1"/>
        <c:tickLblPos val="nextTo"/>
        <c:crossAx val="177091712"/>
        <c:crosses val="autoZero"/>
        <c:auto val="1"/>
        <c:lblAlgn val="ctr"/>
        <c:lblOffset val="100"/>
      </c:catAx>
      <c:valAx>
        <c:axId val="177091712"/>
        <c:scaling>
          <c:orientation val="minMax"/>
        </c:scaling>
        <c:axPos val="l"/>
        <c:majorGridlines/>
        <c:numFmt formatCode="General" sourceLinked="1"/>
        <c:tickLblPos val="nextTo"/>
        <c:crossAx val="177008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Rother</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82.78</c:v>
                </c:pt>
                <c:pt idx="1">
                  <c:v>82.59</c:v>
                </c:pt>
                <c:pt idx="2">
                  <c:v>86.94</c:v>
                </c:pt>
                <c:pt idx="3">
                  <c:v>91.69</c:v>
                </c:pt>
                <c:pt idx="4">
                  <c:v>94.65</c:v>
                </c:pt>
                <c:pt idx="5">
                  <c:v>97.54</c:v>
                </c:pt>
                <c:pt idx="6">
                  <c:v>99.023470736312177</c:v>
                </c:pt>
                <c:pt idx="7">
                  <c:v>97.39673608952441</c:v>
                </c:pt>
              </c:numCache>
            </c:numRef>
          </c:val>
        </c:ser>
        <c:marker val="1"/>
        <c:axId val="177012736"/>
        <c:axId val="177014272"/>
      </c:lineChart>
      <c:catAx>
        <c:axId val="177012736"/>
        <c:scaling>
          <c:orientation val="minMax"/>
        </c:scaling>
        <c:axPos val="b"/>
        <c:numFmt formatCode="General" sourceLinked="1"/>
        <c:tickLblPos val="nextTo"/>
        <c:crossAx val="177014272"/>
        <c:crosses val="autoZero"/>
        <c:auto val="1"/>
        <c:lblAlgn val="ctr"/>
        <c:lblOffset val="100"/>
      </c:catAx>
      <c:valAx>
        <c:axId val="17701427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701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0.92500000000000004</c:v>
                </c:pt>
                <c:pt idx="1">
                  <c:v>1.05</c:v>
                </c:pt>
                <c:pt idx="2">
                  <c:v>1.02</c:v>
                </c:pt>
                <c:pt idx="3">
                  <c:v>0.96546064541044152</c:v>
                </c:pt>
                <c:pt idx="4">
                  <c:v>1.39</c:v>
                </c:pt>
                <c:pt idx="5">
                  <c:v>2.23</c:v>
                </c:pt>
                <c:pt idx="6">
                  <c:v>2.58</c:v>
                </c:pt>
              </c:numCache>
            </c:numRef>
          </c:val>
        </c:ser>
        <c:marker val="1"/>
        <c:axId val="177053696"/>
        <c:axId val="177055232"/>
      </c:lineChart>
      <c:catAx>
        <c:axId val="177053696"/>
        <c:scaling>
          <c:orientation val="minMax"/>
        </c:scaling>
        <c:axPos val="b"/>
        <c:tickLblPos val="nextTo"/>
        <c:crossAx val="177055232"/>
        <c:crosses val="autoZero"/>
        <c:auto val="1"/>
        <c:lblAlgn val="ctr"/>
        <c:lblOffset val="100"/>
      </c:catAx>
      <c:valAx>
        <c:axId val="177055232"/>
        <c:scaling>
          <c:orientation val="minMax"/>
        </c:scaling>
        <c:axPos val="l"/>
        <c:majorGridlines/>
        <c:numFmt formatCode="General" sourceLinked="1"/>
        <c:tickLblPos val="nextTo"/>
        <c:crossAx val="177053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0.27500000000000002</c:v>
                </c:pt>
                <c:pt idx="1">
                  <c:v>0.38</c:v>
                </c:pt>
                <c:pt idx="2">
                  <c:v>0.51</c:v>
                </c:pt>
                <c:pt idx="3">
                  <c:v>0.24136516135261038</c:v>
                </c:pt>
                <c:pt idx="4">
                  <c:v>0.53</c:v>
                </c:pt>
                <c:pt idx="5">
                  <c:v>0.52</c:v>
                </c:pt>
                <c:pt idx="6">
                  <c:v>0.77</c:v>
                </c:pt>
              </c:numCache>
            </c:numRef>
          </c:val>
        </c:ser>
        <c:marker val="1"/>
        <c:axId val="177147264"/>
        <c:axId val="177165440"/>
      </c:lineChart>
      <c:catAx>
        <c:axId val="177147264"/>
        <c:scaling>
          <c:orientation val="minMax"/>
        </c:scaling>
        <c:axPos val="b"/>
        <c:tickLblPos val="nextTo"/>
        <c:crossAx val="177165440"/>
        <c:crosses val="autoZero"/>
        <c:auto val="1"/>
        <c:lblAlgn val="ctr"/>
        <c:lblOffset val="100"/>
      </c:catAx>
      <c:valAx>
        <c:axId val="177165440"/>
        <c:scaling>
          <c:orientation val="minMax"/>
        </c:scaling>
        <c:axPos val="l"/>
        <c:majorGridlines/>
        <c:numFmt formatCode="General" sourceLinked="1"/>
        <c:tickLblPos val="nextTo"/>
        <c:crossAx val="177147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0.22857142857142859</c:v>
                </c:pt>
                <c:pt idx="1">
                  <c:v>#N/A</c:v>
                </c:pt>
                <c:pt idx="2">
                  <c:v>0</c:v>
                </c:pt>
                <c:pt idx="3">
                  <c:v>2.0320614134116042</c:v>
                </c:pt>
                <c:pt idx="4">
                  <c:v>0.674915635545557</c:v>
                </c:pt>
                <c:pt idx="5">
                  <c:v>1.7925162446784675</c:v>
                </c:pt>
                <c:pt idx="6">
                  <c:v>0.22281639928698754</c:v>
                </c:pt>
                <c:pt idx="7">
                  <c:v>2.2281639928698751</c:v>
                </c:pt>
              </c:numCache>
            </c:numRef>
          </c:val>
        </c:ser>
        <c:marker val="1"/>
        <c:axId val="142609024"/>
        <c:axId val="142619008"/>
      </c:lineChart>
      <c:catAx>
        <c:axId val="142609024"/>
        <c:scaling>
          <c:orientation val="minMax"/>
        </c:scaling>
        <c:axPos val="b"/>
        <c:tickLblPos val="nextTo"/>
        <c:crossAx val="142619008"/>
        <c:crosses val="autoZero"/>
        <c:auto val="1"/>
        <c:lblAlgn val="ctr"/>
        <c:lblOffset val="100"/>
      </c:catAx>
      <c:valAx>
        <c:axId val="142619008"/>
        <c:scaling>
          <c:orientation val="minMax"/>
        </c:scaling>
        <c:axPos val="l"/>
        <c:majorGridlines/>
        <c:numFmt formatCode="General" sourceLinked="1"/>
        <c:tickLblPos val="nextTo"/>
        <c:crossAx val="142609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0</c:v>
                </c:pt>
                <c:pt idx="5">
                  <c:v>0</c:v>
                </c:pt>
                <c:pt idx="6">
                  <c:v>0</c:v>
                </c:pt>
                <c:pt idx="7">
                  <c:v>0</c:v>
                </c:pt>
              </c:numCache>
            </c:numRef>
          </c:val>
        </c:ser>
        <c:marker val="1"/>
        <c:axId val="142649600"/>
        <c:axId val="142667776"/>
      </c:lineChart>
      <c:catAx>
        <c:axId val="142649600"/>
        <c:scaling>
          <c:orientation val="minMax"/>
        </c:scaling>
        <c:axPos val="b"/>
        <c:tickLblPos val="nextTo"/>
        <c:crossAx val="142667776"/>
        <c:crosses val="autoZero"/>
        <c:auto val="1"/>
        <c:lblAlgn val="ctr"/>
        <c:lblOffset val="100"/>
      </c:catAx>
      <c:valAx>
        <c:axId val="142667776"/>
        <c:scaling>
          <c:orientation val="minMax"/>
        </c:scaling>
        <c:axPos val="l"/>
        <c:majorGridlines/>
        <c:numFmt formatCode="General" sourceLinked="1"/>
        <c:tickLblPos val="nextTo"/>
        <c:crossAx val="142649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2.0571428571428578</c:v>
                </c:pt>
                <c:pt idx="1">
                  <c:v>#N/A</c:v>
                </c:pt>
                <c:pt idx="2">
                  <c:v>3.3944331296673451</c:v>
                </c:pt>
                <c:pt idx="3">
                  <c:v>4.2899074283133896</c:v>
                </c:pt>
                <c:pt idx="4">
                  <c:v>3.3745781777277837</c:v>
                </c:pt>
                <c:pt idx="5">
                  <c:v>5.1534842034505921</c:v>
                </c:pt>
                <c:pt idx="6">
                  <c:v>4.0106951871657754</c:v>
                </c:pt>
                <c:pt idx="7">
                  <c:v>5.5704099821746897</c:v>
                </c:pt>
              </c:numCache>
            </c:numRef>
          </c:val>
        </c:ser>
        <c:marker val="1"/>
        <c:axId val="176523136"/>
        <c:axId val="176524672"/>
      </c:lineChart>
      <c:catAx>
        <c:axId val="176523136"/>
        <c:scaling>
          <c:orientation val="minMax"/>
        </c:scaling>
        <c:axPos val="b"/>
        <c:tickLblPos val="nextTo"/>
        <c:crossAx val="176524672"/>
        <c:crosses val="autoZero"/>
        <c:auto val="1"/>
        <c:lblAlgn val="ctr"/>
        <c:lblOffset val="100"/>
      </c:catAx>
      <c:valAx>
        <c:axId val="176524672"/>
        <c:scaling>
          <c:orientation val="minMax"/>
        </c:scaling>
        <c:axPos val="l"/>
        <c:majorGridlines/>
        <c:numFmt formatCode="General" sourceLinked="1"/>
        <c:tickLblPos val="nextTo"/>
        <c:crossAx val="176523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3.4285714285714288</c:v>
                </c:pt>
                <c:pt idx="1">
                  <c:v>#N/A</c:v>
                </c:pt>
                <c:pt idx="2">
                  <c:v>4.2996152975786384</c:v>
                </c:pt>
                <c:pt idx="3">
                  <c:v>2.0320614134116042</c:v>
                </c:pt>
                <c:pt idx="4">
                  <c:v>2.2497187851518565</c:v>
                </c:pt>
                <c:pt idx="5">
                  <c:v>1.7925162446784675</c:v>
                </c:pt>
                <c:pt idx="6">
                  <c:v>1.7825311942958999</c:v>
                </c:pt>
                <c:pt idx="7">
                  <c:v>3.7878787878787881</c:v>
                </c:pt>
              </c:numCache>
            </c:numRef>
          </c:val>
        </c:ser>
        <c:marker val="1"/>
        <c:axId val="176555520"/>
        <c:axId val="176557056"/>
      </c:lineChart>
      <c:catAx>
        <c:axId val="176555520"/>
        <c:scaling>
          <c:orientation val="minMax"/>
        </c:scaling>
        <c:axPos val="b"/>
        <c:tickLblPos val="nextTo"/>
        <c:crossAx val="176557056"/>
        <c:crosses val="autoZero"/>
        <c:auto val="1"/>
        <c:lblAlgn val="ctr"/>
        <c:lblOffset val="100"/>
      </c:catAx>
      <c:valAx>
        <c:axId val="176557056"/>
        <c:scaling>
          <c:orientation val="minMax"/>
        </c:scaling>
        <c:axPos val="l"/>
        <c:majorGridlines/>
        <c:numFmt formatCode="General" sourceLinked="1"/>
        <c:tickLblPos val="nextTo"/>
        <c:crossAx val="176555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0.22857142857142859</c:v>
                </c:pt>
                <c:pt idx="1">
                  <c:v>#N/A</c:v>
                </c:pt>
                <c:pt idx="2">
                  <c:v>0.22629554197782306</c:v>
                </c:pt>
                <c:pt idx="3">
                  <c:v>0.2257846014901784</c:v>
                </c:pt>
                <c:pt idx="4">
                  <c:v>1.1248593925759278</c:v>
                </c:pt>
                <c:pt idx="5">
                  <c:v>1.7925162446784675</c:v>
                </c:pt>
                <c:pt idx="6">
                  <c:v>1.7825311942958999</c:v>
                </c:pt>
                <c:pt idx="7">
                  <c:v>1.1140819964349375</c:v>
                </c:pt>
              </c:numCache>
            </c:numRef>
          </c:val>
        </c:ser>
        <c:marker val="1"/>
        <c:axId val="176604288"/>
        <c:axId val="176605824"/>
      </c:lineChart>
      <c:catAx>
        <c:axId val="176604288"/>
        <c:scaling>
          <c:orientation val="minMax"/>
        </c:scaling>
        <c:axPos val="b"/>
        <c:tickLblPos val="nextTo"/>
        <c:crossAx val="176605824"/>
        <c:crosses val="autoZero"/>
        <c:auto val="1"/>
        <c:lblAlgn val="ctr"/>
        <c:lblOffset val="100"/>
      </c:catAx>
      <c:valAx>
        <c:axId val="176605824"/>
        <c:scaling>
          <c:orientation val="minMax"/>
        </c:scaling>
        <c:axPos val="l"/>
        <c:majorGridlines/>
        <c:numFmt formatCode="General" sourceLinked="1"/>
        <c:tickLblPos val="nextTo"/>
        <c:crossAx val="176604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#N/A</c:v>
                </c:pt>
                <c:pt idx="2">
                  <c:v>0</c:v>
                </c:pt>
                <c:pt idx="3">
                  <c:v>0</c:v>
                </c:pt>
                <c:pt idx="4">
                  <c:v>0</c:v>
                </c:pt>
                <c:pt idx="5">
                  <c:v>0</c:v>
                </c:pt>
                <c:pt idx="6">
                  <c:v>0</c:v>
                </c:pt>
                <c:pt idx="7">
                  <c:v>0</c:v>
                </c:pt>
              </c:numCache>
            </c:numRef>
          </c:val>
        </c:ser>
        <c:marker val="1"/>
        <c:axId val="176657152"/>
        <c:axId val="176658688"/>
      </c:lineChart>
      <c:catAx>
        <c:axId val="176657152"/>
        <c:scaling>
          <c:orientation val="minMax"/>
        </c:scaling>
        <c:axPos val="b"/>
        <c:tickLblPos val="nextTo"/>
        <c:crossAx val="176658688"/>
        <c:crosses val="autoZero"/>
        <c:auto val="1"/>
        <c:lblAlgn val="ctr"/>
        <c:lblOffset val="100"/>
      </c:catAx>
      <c:valAx>
        <c:axId val="176658688"/>
        <c:scaling>
          <c:orientation val="minMax"/>
        </c:scaling>
        <c:axPos val="l"/>
        <c:majorGridlines/>
        <c:numFmt formatCode="General" sourceLinked="1"/>
        <c:tickLblPos val="nextTo"/>
        <c:crossAx val="17665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3.4285714285714288</c:v>
                </c:pt>
                <c:pt idx="1">
                  <c:v>#N/A</c:v>
                </c:pt>
                <c:pt idx="2">
                  <c:v>4.5259108395564587</c:v>
                </c:pt>
                <c:pt idx="3">
                  <c:v>2.2578460149017832</c:v>
                </c:pt>
                <c:pt idx="4">
                  <c:v>3.3745781777277837</c:v>
                </c:pt>
                <c:pt idx="5">
                  <c:v>3.585032489356935</c:v>
                </c:pt>
                <c:pt idx="6">
                  <c:v>3.5650623885917998</c:v>
                </c:pt>
                <c:pt idx="7">
                  <c:v>4.9019607843137285</c:v>
                </c:pt>
              </c:numCache>
            </c:numRef>
          </c:val>
        </c:ser>
        <c:marker val="1"/>
        <c:axId val="176689536"/>
        <c:axId val="176691072"/>
      </c:lineChart>
      <c:catAx>
        <c:axId val="176689536"/>
        <c:scaling>
          <c:orientation val="minMax"/>
        </c:scaling>
        <c:axPos val="b"/>
        <c:tickLblPos val="nextTo"/>
        <c:crossAx val="176691072"/>
        <c:crosses val="autoZero"/>
        <c:auto val="1"/>
        <c:lblAlgn val="ctr"/>
        <c:lblOffset val="100"/>
      </c:catAx>
      <c:valAx>
        <c:axId val="176691072"/>
        <c:scaling>
          <c:orientation val="minMax"/>
        </c:scaling>
        <c:axPos val="l"/>
        <c:majorGridlines/>
        <c:numFmt formatCode="General" sourceLinked="1"/>
        <c:tickLblPos val="nextTo"/>
        <c:crossAx val="17668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Rother</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1.8103643358225843</c:v>
                </c:pt>
                <c:pt idx="1">
                  <c:v>3.1609844208624973</c:v>
                </c:pt>
                <c:pt idx="2">
                  <c:v>3.8245219347581556</c:v>
                </c:pt>
                <c:pt idx="3">
                  <c:v>5.8256777952050189</c:v>
                </c:pt>
                <c:pt idx="4">
                  <c:v>5.4144385026737964</c:v>
                </c:pt>
              </c:numCache>
            </c:numRef>
          </c:val>
        </c:ser>
        <c:marker val="1"/>
        <c:axId val="176726016"/>
        <c:axId val="176727552"/>
      </c:lineChart>
      <c:catAx>
        <c:axId val="176726016"/>
        <c:scaling>
          <c:orientation val="minMax"/>
        </c:scaling>
        <c:axPos val="b"/>
        <c:tickLblPos val="nextTo"/>
        <c:crossAx val="176727552"/>
        <c:crosses val="autoZero"/>
        <c:auto val="1"/>
        <c:lblAlgn val="ctr"/>
        <c:lblOffset val="100"/>
      </c:catAx>
      <c:valAx>
        <c:axId val="176727552"/>
        <c:scaling>
          <c:orientation val="minMax"/>
        </c:scaling>
        <c:axPos val="l"/>
        <c:majorGridlines/>
        <c:numFmt formatCode="General" sourceLinked="1"/>
        <c:tickLblPos val="nextTo"/>
        <c:crossAx val="17672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EB123-25B1-4415-B55C-3A251D0E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2018-04-30T09:52:00Z</dcterms:created>
  <dcterms:modified xsi:type="dcterms:W3CDTF">2018-05-04T14:55:00Z</dcterms:modified>
</cp:coreProperties>
</file>