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96CED">
      <w:r w:rsidRPr="00896CED">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E1F4D" w:rsidRDefault="00AE3AC8" w:rsidP="004D3814">
                  <w:pPr>
                    <w:jc w:val="right"/>
                    <w:rPr>
                      <w:rFonts w:ascii="Segoe UI" w:hAnsi="Segoe UI" w:cs="Segoe UI"/>
                      <w:b/>
                      <w:sz w:val="56"/>
                      <w:szCs w:val="72"/>
                      <w:u w:val="single"/>
                    </w:rPr>
                  </w:pPr>
                  <w:r w:rsidRPr="009E1F4D">
                    <w:rPr>
                      <w:rFonts w:ascii="Segoe UI" w:hAnsi="Segoe UI" w:cs="Segoe UI"/>
                      <w:b/>
                      <w:sz w:val="56"/>
                      <w:szCs w:val="72"/>
                      <w:u w:val="single"/>
                    </w:rPr>
                    <w:t>S</w:t>
                  </w:r>
                  <w:r w:rsidR="00165B12" w:rsidRPr="009E1F4D">
                    <w:rPr>
                      <w:rFonts w:ascii="Segoe UI" w:hAnsi="Segoe UI" w:cs="Segoe UI"/>
                      <w:b/>
                      <w:sz w:val="56"/>
                      <w:szCs w:val="72"/>
                      <w:u w:val="single"/>
                    </w:rPr>
                    <w:t xml:space="preserve">outh </w:t>
                  </w:r>
                  <w:r w:rsidR="002D7F20" w:rsidRPr="009E1F4D">
                    <w:rPr>
                      <w:rFonts w:ascii="Segoe UI" w:hAnsi="Segoe UI" w:cs="Segoe UI"/>
                      <w:b/>
                      <w:sz w:val="56"/>
                      <w:szCs w:val="72"/>
                      <w:u w:val="single"/>
                    </w:rPr>
                    <w:t>Nor</w:t>
                  </w:r>
                  <w:r w:rsidR="009E1F4D" w:rsidRPr="009E1F4D">
                    <w:rPr>
                      <w:rFonts w:ascii="Segoe UI" w:hAnsi="Segoe UI" w:cs="Segoe UI"/>
                      <w:b/>
                      <w:sz w:val="56"/>
                      <w:szCs w:val="72"/>
                      <w:u w:val="single"/>
                    </w:rPr>
                    <w:t>thamptonshire</w:t>
                  </w:r>
                  <w:r w:rsidR="009E1F4D">
                    <w:rPr>
                      <w:rFonts w:ascii="Segoe UI" w:hAnsi="Segoe UI" w:cs="Segoe UI"/>
                      <w:b/>
                      <w:sz w:val="56"/>
                      <w:szCs w:val="72"/>
                      <w:u w:val="single"/>
                    </w:rPr>
                    <w:t xml:space="preserve"> </w:t>
                  </w:r>
                  <w:r w:rsidR="009579D3" w:rsidRPr="009E1F4D">
                    <w:rPr>
                      <w:rFonts w:ascii="Segoe UI" w:hAnsi="Segoe UI" w:cs="Segoe UI"/>
                      <w:b/>
                      <w:sz w:val="56"/>
                      <w:szCs w:val="72"/>
                      <w:u w:val="single"/>
                    </w:rPr>
                    <w:t>Housing Profile</w:t>
                  </w:r>
                </w:p>
                <w:p w:rsidR="009E1F4D" w:rsidRDefault="009E1F4D"/>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96CE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96CE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96CE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96CE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96CE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2D7F20">
        <w:rPr>
          <w:rFonts w:ascii="Segoe UI" w:hAnsi="Segoe UI" w:cs="Segoe UI"/>
        </w:rPr>
        <w:t>Nor</w:t>
      </w:r>
      <w:r w:rsidR="009E1F4D">
        <w:rPr>
          <w:rFonts w:ascii="Segoe UI" w:hAnsi="Segoe UI" w:cs="Segoe UI"/>
        </w:rPr>
        <w:t>thamptonshire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9E1F4D">
        <w:rPr>
          <w:rFonts w:ascii="Segoe UI" w:hAnsi="Segoe UI" w:cs="Segoe UI"/>
        </w:rPr>
        <w:t>58</w:t>
      </w:r>
      <w:r w:rsidR="005D1AC4">
        <w:rPr>
          <w:rFonts w:ascii="Segoe UI" w:hAnsi="Segoe UI" w:cs="Segoe UI"/>
        </w:rPr>
        <w:t>0</w:t>
      </w:r>
      <w:r w:rsidR="00FA4ACC">
        <w:rPr>
          <w:rFonts w:ascii="Segoe UI" w:hAnsi="Segoe UI" w:cs="Segoe UI"/>
        </w:rPr>
        <w:t xml:space="preserve">, made up of </w:t>
      </w:r>
      <w:r w:rsidR="009E1F4D">
        <w:rPr>
          <w:rFonts w:ascii="Segoe UI" w:hAnsi="Segoe UI" w:cs="Segoe UI"/>
        </w:rPr>
        <w:t>47</w:t>
      </w:r>
      <w:r w:rsidR="009C76C5">
        <w:rPr>
          <w:rFonts w:ascii="Segoe UI" w:hAnsi="Segoe UI" w:cs="Segoe UI"/>
        </w:rPr>
        <w:t>0</w:t>
      </w:r>
      <w:r w:rsidR="00FA4ACC">
        <w:rPr>
          <w:rFonts w:ascii="Segoe UI" w:hAnsi="Segoe UI" w:cs="Segoe UI"/>
        </w:rPr>
        <w:t xml:space="preserve"> private enterprise builds</w:t>
      </w:r>
      <w:r w:rsidR="009F5CB7">
        <w:rPr>
          <w:rFonts w:ascii="Segoe UI" w:hAnsi="Segoe UI" w:cs="Segoe UI"/>
        </w:rPr>
        <w:t xml:space="preserve"> and</w:t>
      </w:r>
      <w:r w:rsidR="0061724F">
        <w:rPr>
          <w:rFonts w:ascii="Segoe UI" w:hAnsi="Segoe UI" w:cs="Segoe UI"/>
        </w:rPr>
        <w:t xml:space="preserve"> </w:t>
      </w:r>
      <w:r w:rsidR="002D7F20">
        <w:rPr>
          <w:rFonts w:ascii="Segoe UI" w:hAnsi="Segoe UI" w:cs="Segoe UI"/>
        </w:rPr>
        <w:t>1</w:t>
      </w:r>
      <w:r w:rsidR="009E1F4D">
        <w:rPr>
          <w:rFonts w:ascii="Segoe UI" w:hAnsi="Segoe UI" w:cs="Segoe UI"/>
        </w:rPr>
        <w:t>1</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E1F4D">
        <w:rPr>
          <w:rFonts w:ascii="Segoe UI" w:hAnsi="Segoe UI" w:cs="Segoe UI"/>
        </w:rPr>
        <w:t>37,730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9A31F2">
        <w:rPr>
          <w:rFonts w:ascii="Segoe UI" w:hAnsi="Segoe UI" w:cs="Segoe UI"/>
        </w:rPr>
        <w:t>South Northamptonshire</w:t>
      </w:r>
      <w:r w:rsidR="002651E1">
        <w:rPr>
          <w:rFonts w:ascii="Segoe UI" w:hAnsi="Segoe UI" w:cs="Segoe UI"/>
        </w:rPr>
        <w:t xml:space="preserve"> </w:t>
      </w:r>
      <w:r w:rsidR="00465750">
        <w:rPr>
          <w:rFonts w:ascii="Segoe UI" w:hAnsi="Segoe UI" w:cs="Segoe UI"/>
        </w:rPr>
        <w:t xml:space="preserve">had net additions of </w:t>
      </w:r>
      <w:r w:rsidR="009A31F2">
        <w:rPr>
          <w:rFonts w:ascii="Segoe UI" w:hAnsi="Segoe UI" w:cs="Segoe UI"/>
        </w:rPr>
        <w:t>681</w:t>
      </w:r>
      <w:r w:rsidR="004A44E1">
        <w:rPr>
          <w:rFonts w:ascii="Segoe UI" w:hAnsi="Segoe UI" w:cs="Segoe UI"/>
        </w:rPr>
        <w:t xml:space="preserve"> dwellings</w:t>
      </w:r>
      <w:r w:rsidR="00465750">
        <w:rPr>
          <w:rFonts w:ascii="Segoe UI" w:hAnsi="Segoe UI" w:cs="Segoe UI"/>
        </w:rPr>
        <w:t xml:space="preserve"> comprised of </w:t>
      </w:r>
      <w:r w:rsidR="009A31F2">
        <w:rPr>
          <w:rFonts w:ascii="Segoe UI" w:hAnsi="Segoe UI" w:cs="Segoe UI"/>
        </w:rPr>
        <w:t>671</w:t>
      </w:r>
      <w:r w:rsidR="00465750">
        <w:rPr>
          <w:rFonts w:ascii="Segoe UI" w:hAnsi="Segoe UI" w:cs="Segoe UI"/>
        </w:rPr>
        <w:t xml:space="preserve"> new builds, </w:t>
      </w:r>
      <w:r w:rsidR="009A31F2">
        <w:rPr>
          <w:rFonts w:ascii="Segoe UI" w:hAnsi="Segoe UI" w:cs="Segoe UI"/>
        </w:rPr>
        <w:t>2</w:t>
      </w:r>
      <w:r w:rsidR="00465750">
        <w:rPr>
          <w:rFonts w:ascii="Segoe UI" w:hAnsi="Segoe UI" w:cs="Segoe UI"/>
        </w:rPr>
        <w:t xml:space="preserve"> conversations, </w:t>
      </w:r>
      <w:r w:rsidR="009A31F2">
        <w:rPr>
          <w:rFonts w:ascii="Segoe UI" w:hAnsi="Segoe UI" w:cs="Segoe UI"/>
        </w:rPr>
        <w:t>9</w:t>
      </w:r>
      <w:r w:rsidR="00465750">
        <w:rPr>
          <w:rFonts w:ascii="Segoe UI" w:hAnsi="Segoe UI" w:cs="Segoe UI"/>
        </w:rPr>
        <w:t xml:space="preserve"> change of use, and </w:t>
      </w:r>
      <w:r w:rsidR="009A31F2">
        <w:rPr>
          <w:rFonts w:ascii="Segoe UI" w:hAnsi="Segoe UI" w:cs="Segoe UI"/>
        </w:rPr>
        <w:t>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9A31F2">
        <w:rPr>
          <w:rFonts w:ascii="Segoe UI" w:hAnsi="Segoe UI" w:cs="Segoe UI"/>
        </w:rPr>
        <w:t>South Northamptonshire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9A31F2">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9A31F2">
        <w:rPr>
          <w:rFonts w:ascii="Segoe UI" w:hAnsi="Segoe UI" w:cs="Segoe UI"/>
        </w:rPr>
        <w:t>ion per 1,000 households was 0.8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96CED"/>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A31F2"/>
    <w:rsid w:val="009B02FC"/>
    <w:rsid w:val="009B0857"/>
    <w:rsid w:val="009B632B"/>
    <w:rsid w:val="009C76C5"/>
    <w:rsid w:val="009E1F4D"/>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3.3454139949818789</c:v>
                </c:pt>
                <c:pt idx="1">
                  <c:v>4.9944506104328523</c:v>
                </c:pt>
                <c:pt idx="2">
                  <c:v>4.3992301347264231</c:v>
                </c:pt>
                <c:pt idx="3">
                  <c:v>4.9193768789286692</c:v>
                </c:pt>
                <c:pt idx="4">
                  <c:v>5.4156512320606556</c:v>
                </c:pt>
                <c:pt idx="5">
                  <c:v>9.1226187281996225</c:v>
                </c:pt>
                <c:pt idx="6">
                  <c:v>12.987012987012989</c:v>
                </c:pt>
                <c:pt idx="7">
                  <c:v>15.637423800689104</c:v>
                </c:pt>
              </c:numCache>
            </c:numRef>
          </c:val>
        </c:ser>
        <c:marker val="1"/>
        <c:axId val="152812160"/>
        <c:axId val="152859008"/>
      </c:lineChart>
      <c:catAx>
        <c:axId val="152812160"/>
        <c:scaling>
          <c:orientation val="minMax"/>
        </c:scaling>
        <c:axPos val="b"/>
        <c:tickLblPos val="nextTo"/>
        <c:txPr>
          <a:bodyPr/>
          <a:lstStyle/>
          <a:p>
            <a:pPr>
              <a:defRPr sz="1000"/>
            </a:pPr>
            <a:endParaRPr lang="en-US"/>
          </a:p>
        </c:txPr>
        <c:crossAx val="152859008"/>
        <c:crosses val="autoZero"/>
        <c:auto val="1"/>
        <c:lblAlgn val="ctr"/>
        <c:lblOffset val="100"/>
      </c:catAx>
      <c:valAx>
        <c:axId val="152859008"/>
        <c:scaling>
          <c:orientation val="minMax"/>
        </c:scaling>
        <c:axPos val="l"/>
        <c:majorGridlines/>
        <c:numFmt formatCode="General" sourceLinked="1"/>
        <c:tickLblPos val="nextTo"/>
        <c:crossAx val="152812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0.54990376684080289</c:v>
                </c:pt>
                <c:pt idx="1">
                  <c:v>0.27329871549603713</c:v>
                </c:pt>
                <c:pt idx="2">
                  <c:v>0</c:v>
                </c:pt>
                <c:pt idx="3">
                  <c:v>0.26831231553528306</c:v>
                </c:pt>
                <c:pt idx="4">
                  <c:v>5.3008216273522396E-2</c:v>
                </c:pt>
              </c:numCache>
            </c:numRef>
          </c:val>
        </c:ser>
        <c:marker val="1"/>
        <c:axId val="180567040"/>
        <c:axId val="180581120"/>
      </c:lineChart>
      <c:catAx>
        <c:axId val="180567040"/>
        <c:scaling>
          <c:orientation val="minMax"/>
        </c:scaling>
        <c:axPos val="b"/>
        <c:tickLblPos val="nextTo"/>
        <c:crossAx val="180581120"/>
        <c:crosses val="autoZero"/>
        <c:auto val="1"/>
        <c:lblAlgn val="ctr"/>
        <c:lblOffset val="100"/>
      </c:catAx>
      <c:valAx>
        <c:axId val="180581120"/>
        <c:scaling>
          <c:orientation val="minMax"/>
        </c:scaling>
        <c:axPos val="l"/>
        <c:majorGridlines/>
        <c:numFmt formatCode="General" sourceLinked="1"/>
        <c:tickLblPos val="nextTo"/>
        <c:crossAx val="180567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c:v>
                </c:pt>
                <c:pt idx="2">
                  <c:v>0.27078256160303277</c:v>
                </c:pt>
                <c:pt idx="3">
                  <c:v>0</c:v>
                </c:pt>
                <c:pt idx="4">
                  <c:v>0.23853697323085077</c:v>
                </c:pt>
              </c:numCache>
            </c:numRef>
          </c:val>
        </c:ser>
        <c:marker val="1"/>
        <c:axId val="180619904"/>
        <c:axId val="180642176"/>
      </c:lineChart>
      <c:catAx>
        <c:axId val="180619904"/>
        <c:scaling>
          <c:orientation val="minMax"/>
        </c:scaling>
        <c:axPos val="b"/>
        <c:tickLblPos val="nextTo"/>
        <c:crossAx val="180642176"/>
        <c:crosses val="autoZero"/>
        <c:auto val="1"/>
        <c:lblAlgn val="ctr"/>
        <c:lblOffset val="100"/>
      </c:catAx>
      <c:valAx>
        <c:axId val="180642176"/>
        <c:scaling>
          <c:orientation val="minMax"/>
        </c:scaling>
        <c:axPos val="l"/>
        <c:majorGridlines/>
        <c:numFmt formatCode="General" sourceLinked="1"/>
        <c:tickLblPos val="nextTo"/>
        <c:crossAx val="180619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0664576"/>
        <c:axId val="180686848"/>
      </c:lineChart>
      <c:catAx>
        <c:axId val="180664576"/>
        <c:scaling>
          <c:orientation val="minMax"/>
        </c:scaling>
        <c:axPos val="b"/>
        <c:tickLblPos val="nextTo"/>
        <c:crossAx val="180686848"/>
        <c:crosses val="autoZero"/>
        <c:auto val="1"/>
        <c:lblAlgn val="ctr"/>
        <c:lblOffset val="100"/>
      </c:catAx>
      <c:valAx>
        <c:axId val="180686848"/>
        <c:scaling>
          <c:orientation val="minMax"/>
        </c:scaling>
        <c:axPos val="l"/>
        <c:majorGridlines/>
        <c:numFmt formatCode="General" sourceLinked="1"/>
        <c:tickLblPos val="nextTo"/>
        <c:crossAx val="180664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0.27495188342040144</c:v>
                </c:pt>
                <c:pt idx="1">
                  <c:v>0</c:v>
                </c:pt>
                <c:pt idx="2">
                  <c:v>0.54156512320606554</c:v>
                </c:pt>
                <c:pt idx="3">
                  <c:v>0</c:v>
                </c:pt>
                <c:pt idx="4">
                  <c:v>2.6504108136761198E-2</c:v>
                </c:pt>
              </c:numCache>
            </c:numRef>
          </c:val>
        </c:ser>
        <c:marker val="1"/>
        <c:axId val="180701056"/>
        <c:axId val="180702592"/>
      </c:lineChart>
      <c:catAx>
        <c:axId val="180701056"/>
        <c:scaling>
          <c:orientation val="minMax"/>
        </c:scaling>
        <c:axPos val="b"/>
        <c:tickLblPos val="nextTo"/>
        <c:crossAx val="180702592"/>
        <c:crosses val="autoZero"/>
        <c:auto val="1"/>
        <c:lblAlgn val="ctr"/>
        <c:lblOffset val="100"/>
      </c:catAx>
      <c:valAx>
        <c:axId val="180702592"/>
        <c:scaling>
          <c:orientation val="minMax"/>
        </c:scaling>
        <c:axPos val="l"/>
        <c:majorGridlines/>
        <c:numFmt formatCode="General" sourceLinked="1"/>
        <c:tickLblPos val="nextTo"/>
        <c:crossAx val="180701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6.3238933186692332</c:v>
                </c:pt>
                <c:pt idx="1">
                  <c:v>9.018857611369226</c:v>
                </c:pt>
                <c:pt idx="2">
                  <c:v>9.2066070945031147</c:v>
                </c:pt>
                <c:pt idx="3">
                  <c:v>12.610678830158305</c:v>
                </c:pt>
                <c:pt idx="4">
                  <c:v>18.049297641134377</c:v>
                </c:pt>
              </c:numCache>
            </c:numRef>
          </c:val>
        </c:ser>
        <c:marker val="1"/>
        <c:axId val="180749824"/>
        <c:axId val="180751360"/>
      </c:lineChart>
      <c:catAx>
        <c:axId val="180749824"/>
        <c:scaling>
          <c:orientation val="minMax"/>
        </c:scaling>
        <c:axPos val="b"/>
        <c:tickLblPos val="nextTo"/>
        <c:crossAx val="180751360"/>
        <c:crosses val="autoZero"/>
        <c:auto val="1"/>
        <c:lblAlgn val="ctr"/>
        <c:lblOffset val="100"/>
      </c:catAx>
      <c:valAx>
        <c:axId val="180751360"/>
        <c:scaling>
          <c:orientation val="minMax"/>
        </c:scaling>
        <c:axPos val="l"/>
        <c:majorGridlines/>
        <c:numFmt formatCode="General" sourceLinked="1"/>
        <c:tickLblPos val="nextTo"/>
        <c:crossAx val="18074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Northamptonshire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9.3000000000000007</c:v>
                </c:pt>
                <c:pt idx="1">
                  <c:v>9.26</c:v>
                </c:pt>
                <c:pt idx="2">
                  <c:v>9.69</c:v>
                </c:pt>
                <c:pt idx="3">
                  <c:v>10.4</c:v>
                </c:pt>
                <c:pt idx="4">
                  <c:v>11.64</c:v>
                </c:pt>
              </c:numCache>
            </c:numRef>
          </c:val>
        </c:ser>
        <c:marker val="1"/>
        <c:axId val="180789248"/>
        <c:axId val="180790784"/>
      </c:lineChart>
      <c:catAx>
        <c:axId val="180789248"/>
        <c:scaling>
          <c:orientation val="minMax"/>
        </c:scaling>
        <c:axPos val="b"/>
        <c:numFmt formatCode="General" sourceLinked="1"/>
        <c:tickLblPos val="nextTo"/>
        <c:crossAx val="180790784"/>
        <c:crosses val="autoZero"/>
        <c:auto val="1"/>
        <c:lblAlgn val="ctr"/>
        <c:lblOffset val="100"/>
      </c:catAx>
      <c:valAx>
        <c:axId val="180790784"/>
        <c:scaling>
          <c:orientation val="minMax"/>
        </c:scaling>
        <c:axPos val="l"/>
        <c:majorGridlines/>
        <c:numFmt formatCode="General" sourceLinked="1"/>
        <c:tickLblPos val="nextTo"/>
        <c:crossAx val="180789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Northamptonshire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9.1106290672451191</c:v>
                </c:pt>
                <c:pt idx="1">
                  <c:v>8.4564466615502685</c:v>
                </c:pt>
                <c:pt idx="2">
                  <c:v>8.5500000000000007</c:v>
                </c:pt>
                <c:pt idx="3">
                  <c:v>9.83</c:v>
                </c:pt>
                <c:pt idx="4">
                  <c:v>11</c:v>
                </c:pt>
              </c:numCache>
            </c:numRef>
          </c:val>
        </c:ser>
        <c:marker val="1"/>
        <c:axId val="180813184"/>
        <c:axId val="180888704"/>
      </c:lineChart>
      <c:catAx>
        <c:axId val="180813184"/>
        <c:scaling>
          <c:orientation val="minMax"/>
        </c:scaling>
        <c:axPos val="b"/>
        <c:numFmt formatCode="General" sourceLinked="1"/>
        <c:tickLblPos val="nextTo"/>
        <c:crossAx val="180888704"/>
        <c:crosses val="autoZero"/>
        <c:auto val="1"/>
        <c:lblAlgn val="ctr"/>
        <c:lblOffset val="100"/>
      </c:catAx>
      <c:valAx>
        <c:axId val="180888704"/>
        <c:scaling>
          <c:orientation val="minMax"/>
        </c:scaling>
        <c:axPos val="l"/>
        <c:majorGridlines/>
        <c:numFmt formatCode="General" sourceLinked="1"/>
        <c:tickLblPos val="nextTo"/>
        <c:crossAx val="180813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Northamptonshire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76.87</c:v>
                </c:pt>
                <c:pt idx="1">
                  <c:v>78.53</c:v>
                </c:pt>
                <c:pt idx="2">
                  <c:v>84.69</c:v>
                </c:pt>
                <c:pt idx="3">
                  <c:v>91.25</c:v>
                </c:pt>
                <c:pt idx="4">
                  <c:v>96.06</c:v>
                </c:pt>
                <c:pt idx="5">
                  <c:v>100.74</c:v>
                </c:pt>
                <c:pt idx="6">
                  <c:v>102.98887644787645</c:v>
                </c:pt>
                <c:pt idx="7">
                  <c:v>102.28080933852139</c:v>
                </c:pt>
              </c:numCache>
            </c:numRef>
          </c:val>
        </c:ser>
        <c:marker val="1"/>
        <c:axId val="180817920"/>
        <c:axId val="180819456"/>
      </c:lineChart>
      <c:catAx>
        <c:axId val="180817920"/>
        <c:scaling>
          <c:orientation val="minMax"/>
        </c:scaling>
        <c:axPos val="b"/>
        <c:numFmt formatCode="General" sourceLinked="1"/>
        <c:tickLblPos val="nextTo"/>
        <c:crossAx val="180819456"/>
        <c:crosses val="autoZero"/>
        <c:auto val="1"/>
        <c:lblAlgn val="ctr"/>
        <c:lblOffset val="100"/>
      </c:catAx>
      <c:valAx>
        <c:axId val="1808194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0817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1.4166666666666667</c:v>
                </c:pt>
                <c:pt idx="1">
                  <c:v>1.83</c:v>
                </c:pt>
                <c:pt idx="2">
                  <c:v>1.46</c:v>
                </c:pt>
                <c:pt idx="3">
                  <c:v>1.014227355965629</c:v>
                </c:pt>
                <c:pt idx="4">
                  <c:v>0.42</c:v>
                </c:pt>
                <c:pt idx="5">
                  <c:v>0.75</c:v>
                </c:pt>
                <c:pt idx="6">
                  <c:v>1.44</c:v>
                </c:pt>
              </c:numCache>
            </c:numRef>
          </c:val>
        </c:ser>
        <c:marker val="1"/>
        <c:axId val="180858880"/>
        <c:axId val="180860416"/>
      </c:lineChart>
      <c:catAx>
        <c:axId val="180858880"/>
        <c:scaling>
          <c:orientation val="minMax"/>
        </c:scaling>
        <c:axPos val="b"/>
        <c:tickLblPos val="nextTo"/>
        <c:crossAx val="180860416"/>
        <c:crosses val="autoZero"/>
        <c:auto val="1"/>
        <c:lblAlgn val="ctr"/>
        <c:lblOffset val="100"/>
      </c:catAx>
      <c:valAx>
        <c:axId val="180860416"/>
        <c:scaling>
          <c:orientation val="minMax"/>
        </c:scaling>
        <c:axPos val="l"/>
        <c:majorGridlines/>
        <c:numFmt formatCode="General" sourceLinked="1"/>
        <c:tickLblPos val="nextTo"/>
        <c:crossAx val="18085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0.86111111111111116</c:v>
                </c:pt>
                <c:pt idx="1">
                  <c:v>0.75</c:v>
                </c:pt>
                <c:pt idx="2">
                  <c:v>0.69</c:v>
                </c:pt>
                <c:pt idx="3">
                  <c:v>0.42259473165234546</c:v>
                </c:pt>
                <c:pt idx="4">
                  <c:v>0.39</c:v>
                </c:pt>
                <c:pt idx="5">
                  <c:v>0.53</c:v>
                </c:pt>
                <c:pt idx="6">
                  <c:v>0.79</c:v>
                </c:pt>
              </c:numCache>
            </c:numRef>
          </c:val>
        </c:ser>
        <c:marker val="1"/>
        <c:axId val="180952448"/>
        <c:axId val="180970624"/>
      </c:lineChart>
      <c:catAx>
        <c:axId val="180952448"/>
        <c:scaling>
          <c:orientation val="minMax"/>
        </c:scaling>
        <c:axPos val="b"/>
        <c:tickLblPos val="nextTo"/>
        <c:crossAx val="180970624"/>
        <c:crosses val="autoZero"/>
        <c:auto val="1"/>
        <c:lblAlgn val="ctr"/>
        <c:lblOffset val="100"/>
      </c:catAx>
      <c:valAx>
        <c:axId val="180970624"/>
        <c:scaling>
          <c:orientation val="minMax"/>
        </c:scaling>
        <c:axPos val="l"/>
        <c:majorGridlines/>
        <c:numFmt formatCode="General" sourceLinked="1"/>
        <c:tickLblPos val="nextTo"/>
        <c:crossAx val="18095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0.55756899916364644</c:v>
                </c:pt>
                <c:pt idx="1">
                  <c:v>2.4972253052164266</c:v>
                </c:pt>
                <c:pt idx="2">
                  <c:v>1.0998075336816062</c:v>
                </c:pt>
                <c:pt idx="3">
                  <c:v>1.639792292976223</c:v>
                </c:pt>
                <c:pt idx="4">
                  <c:v>2.9786081776333599</c:v>
                </c:pt>
                <c:pt idx="5">
                  <c:v>2.9514354708881134</c:v>
                </c:pt>
                <c:pt idx="6">
                  <c:v>2.6504108136761197</c:v>
                </c:pt>
                <c:pt idx="7">
                  <c:v>3.975616220514179</c:v>
                </c:pt>
              </c:numCache>
            </c:numRef>
          </c:val>
        </c:ser>
        <c:marker val="1"/>
        <c:axId val="142150272"/>
        <c:axId val="142156160"/>
      </c:lineChart>
      <c:catAx>
        <c:axId val="142150272"/>
        <c:scaling>
          <c:orientation val="minMax"/>
        </c:scaling>
        <c:axPos val="b"/>
        <c:tickLblPos val="nextTo"/>
        <c:crossAx val="142156160"/>
        <c:crosses val="autoZero"/>
        <c:auto val="1"/>
        <c:lblAlgn val="ctr"/>
        <c:lblOffset val="100"/>
      </c:catAx>
      <c:valAx>
        <c:axId val="142156160"/>
        <c:scaling>
          <c:orientation val="minMax"/>
        </c:scaling>
        <c:axPos val="l"/>
        <c:majorGridlines/>
        <c:numFmt formatCode="General" sourceLinked="1"/>
        <c:tickLblPos val="nextTo"/>
        <c:crossAx val="14215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2190848"/>
        <c:axId val="142204928"/>
      </c:lineChart>
      <c:catAx>
        <c:axId val="142190848"/>
        <c:scaling>
          <c:orientation val="minMax"/>
        </c:scaling>
        <c:axPos val="b"/>
        <c:tickLblPos val="nextTo"/>
        <c:crossAx val="142204928"/>
        <c:crosses val="autoZero"/>
        <c:auto val="1"/>
        <c:lblAlgn val="ctr"/>
        <c:lblOffset val="100"/>
      </c:catAx>
      <c:valAx>
        <c:axId val="142204928"/>
        <c:scaling>
          <c:orientation val="minMax"/>
        </c:scaling>
        <c:axPos val="l"/>
        <c:majorGridlines/>
        <c:numFmt formatCode="General" sourceLinked="1"/>
        <c:tickLblPos val="nextTo"/>
        <c:crossAx val="142190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3.6241984945637018</c:v>
                </c:pt>
                <c:pt idx="1">
                  <c:v>7.4916759156492789</c:v>
                </c:pt>
                <c:pt idx="2">
                  <c:v>5.4990376684080289</c:v>
                </c:pt>
                <c:pt idx="3">
                  <c:v>6.5591691719048928</c:v>
                </c:pt>
                <c:pt idx="4">
                  <c:v>8.3942594096940155</c:v>
                </c:pt>
                <c:pt idx="5">
                  <c:v>12.07405419908774</c:v>
                </c:pt>
                <c:pt idx="6">
                  <c:v>15.637423800689104</c:v>
                </c:pt>
                <c:pt idx="7">
                  <c:v>19.34799893983568</c:v>
                </c:pt>
              </c:numCache>
            </c:numRef>
          </c:val>
        </c:ser>
        <c:marker val="1"/>
        <c:axId val="180324224"/>
        <c:axId val="180325760"/>
      </c:lineChart>
      <c:catAx>
        <c:axId val="180324224"/>
        <c:scaling>
          <c:orientation val="minMax"/>
        </c:scaling>
        <c:axPos val="b"/>
        <c:tickLblPos val="nextTo"/>
        <c:crossAx val="180325760"/>
        <c:crosses val="autoZero"/>
        <c:auto val="1"/>
        <c:lblAlgn val="ctr"/>
        <c:lblOffset val="100"/>
      </c:catAx>
      <c:valAx>
        <c:axId val="180325760"/>
        <c:scaling>
          <c:orientation val="minMax"/>
        </c:scaling>
        <c:axPos val="l"/>
        <c:majorGridlines/>
        <c:numFmt formatCode="General" sourceLinked="1"/>
        <c:tickLblPos val="nextTo"/>
        <c:crossAx val="180324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3.9029829941455247</c:v>
                </c:pt>
                <c:pt idx="1">
                  <c:v>3.6071032186459497</c:v>
                </c:pt>
                <c:pt idx="2">
                  <c:v>5.4990376684080289</c:v>
                </c:pt>
                <c:pt idx="3">
                  <c:v>3.5528833014484826</c:v>
                </c:pt>
                <c:pt idx="4">
                  <c:v>5.6864337936636895</c:v>
                </c:pt>
                <c:pt idx="5">
                  <c:v>5.3662463107056624</c:v>
                </c:pt>
                <c:pt idx="6">
                  <c:v>8.7463556851311921</c:v>
                </c:pt>
                <c:pt idx="7">
                  <c:v>12.456930824277766</c:v>
                </c:pt>
              </c:numCache>
            </c:numRef>
          </c:val>
        </c:ser>
        <c:marker val="1"/>
        <c:axId val="180364800"/>
        <c:axId val="180366336"/>
      </c:lineChart>
      <c:catAx>
        <c:axId val="180364800"/>
        <c:scaling>
          <c:orientation val="minMax"/>
        </c:scaling>
        <c:axPos val="b"/>
        <c:tickLblPos val="nextTo"/>
        <c:crossAx val="180366336"/>
        <c:crosses val="autoZero"/>
        <c:auto val="1"/>
        <c:lblAlgn val="ctr"/>
        <c:lblOffset val="100"/>
      </c:catAx>
      <c:valAx>
        <c:axId val="180366336"/>
        <c:scaling>
          <c:orientation val="minMax"/>
        </c:scaling>
        <c:axPos val="l"/>
        <c:majorGridlines/>
        <c:numFmt formatCode="General" sourceLinked="1"/>
        <c:tickLblPos val="nextTo"/>
        <c:crossAx val="180364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0.83240843507214202</c:v>
                </c:pt>
                <c:pt idx="2">
                  <c:v>2.474566950783613</c:v>
                </c:pt>
                <c:pt idx="3">
                  <c:v>0.81989614648811171</c:v>
                </c:pt>
                <c:pt idx="4">
                  <c:v>1.8954779312212298</c:v>
                </c:pt>
                <c:pt idx="5">
                  <c:v>3.219747786423397</c:v>
                </c:pt>
                <c:pt idx="6">
                  <c:v>2.3853697323085079</c:v>
                </c:pt>
                <c:pt idx="7">
                  <c:v>2.9154518950437307</c:v>
                </c:pt>
              </c:numCache>
            </c:numRef>
          </c:val>
        </c:ser>
        <c:marker val="1"/>
        <c:axId val="180409472"/>
        <c:axId val="180411008"/>
      </c:lineChart>
      <c:catAx>
        <c:axId val="180409472"/>
        <c:scaling>
          <c:orientation val="minMax"/>
        </c:scaling>
        <c:axPos val="b"/>
        <c:tickLblPos val="nextTo"/>
        <c:crossAx val="180411008"/>
        <c:crosses val="autoZero"/>
        <c:auto val="1"/>
        <c:lblAlgn val="ctr"/>
        <c:lblOffset val="100"/>
      </c:catAx>
      <c:valAx>
        <c:axId val="180411008"/>
        <c:scaling>
          <c:orientation val="minMax"/>
        </c:scaling>
        <c:axPos val="l"/>
        <c:majorGridlines/>
        <c:numFmt formatCode="General" sourceLinked="1"/>
        <c:tickLblPos val="nextTo"/>
        <c:crossAx val="180409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0462336"/>
        <c:axId val="180463872"/>
      </c:lineChart>
      <c:catAx>
        <c:axId val="180462336"/>
        <c:scaling>
          <c:orientation val="minMax"/>
        </c:scaling>
        <c:axPos val="b"/>
        <c:tickLblPos val="nextTo"/>
        <c:crossAx val="180463872"/>
        <c:crosses val="autoZero"/>
        <c:auto val="1"/>
        <c:lblAlgn val="ctr"/>
        <c:lblOffset val="100"/>
      </c:catAx>
      <c:valAx>
        <c:axId val="180463872"/>
        <c:scaling>
          <c:orientation val="minMax"/>
        </c:scaling>
        <c:axPos val="l"/>
        <c:majorGridlines/>
        <c:numFmt formatCode="General" sourceLinked="1"/>
        <c:tickLblPos val="nextTo"/>
        <c:crossAx val="180462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3.9029829941455247</c:v>
                </c:pt>
                <c:pt idx="1">
                  <c:v>4.7169811320754702</c:v>
                </c:pt>
                <c:pt idx="2">
                  <c:v>7.9736046191916419</c:v>
                </c:pt>
                <c:pt idx="3">
                  <c:v>4.372779447936594</c:v>
                </c:pt>
                <c:pt idx="4">
                  <c:v>7.5819117248849173</c:v>
                </c:pt>
                <c:pt idx="5">
                  <c:v>8.5859940971290616</c:v>
                </c:pt>
                <c:pt idx="6">
                  <c:v>11.131725417439702</c:v>
                </c:pt>
                <c:pt idx="7">
                  <c:v>15.372382719321498</c:v>
                </c:pt>
              </c:numCache>
            </c:numRef>
          </c:val>
        </c:ser>
        <c:marker val="1"/>
        <c:axId val="180494720"/>
        <c:axId val="180496256"/>
      </c:lineChart>
      <c:catAx>
        <c:axId val="180494720"/>
        <c:scaling>
          <c:orientation val="minMax"/>
        </c:scaling>
        <c:axPos val="b"/>
        <c:tickLblPos val="nextTo"/>
        <c:crossAx val="180496256"/>
        <c:crosses val="autoZero"/>
        <c:auto val="1"/>
        <c:lblAlgn val="ctr"/>
        <c:lblOffset val="100"/>
      </c:catAx>
      <c:valAx>
        <c:axId val="180496256"/>
        <c:scaling>
          <c:orientation val="minMax"/>
        </c:scaling>
        <c:axPos val="l"/>
        <c:majorGridlines/>
        <c:numFmt formatCode="General" sourceLinked="1"/>
        <c:tickLblPos val="nextTo"/>
        <c:crossAx val="18049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Northamptonshire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5.7739895518284303</c:v>
                </c:pt>
                <c:pt idx="1">
                  <c:v>8.745558895873188</c:v>
                </c:pt>
                <c:pt idx="2">
                  <c:v>9.7481722177091807</c:v>
                </c:pt>
                <c:pt idx="3">
                  <c:v>12.342366514623022</c:v>
                </c:pt>
                <c:pt idx="4">
                  <c:v>17.784256559766764</c:v>
                </c:pt>
              </c:numCache>
            </c:numRef>
          </c:val>
        </c:ser>
        <c:marker val="1"/>
        <c:axId val="180531200"/>
        <c:axId val="180532736"/>
      </c:lineChart>
      <c:catAx>
        <c:axId val="180531200"/>
        <c:scaling>
          <c:orientation val="minMax"/>
        </c:scaling>
        <c:axPos val="b"/>
        <c:tickLblPos val="nextTo"/>
        <c:crossAx val="180532736"/>
        <c:crosses val="autoZero"/>
        <c:auto val="1"/>
        <c:lblAlgn val="ctr"/>
        <c:lblOffset val="100"/>
      </c:catAx>
      <c:valAx>
        <c:axId val="180532736"/>
        <c:scaling>
          <c:orientation val="minMax"/>
        </c:scaling>
        <c:axPos val="l"/>
        <c:majorGridlines/>
        <c:numFmt formatCode="General" sourceLinked="1"/>
        <c:tickLblPos val="nextTo"/>
        <c:crossAx val="180531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B5B91-CE74-4D4F-8A40-BD20B3CA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2018-04-30T12:42:00Z</dcterms:created>
  <dcterms:modified xsi:type="dcterms:W3CDTF">2018-05-08T09:59:00Z</dcterms:modified>
</cp:coreProperties>
</file>