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29489E">
      <w:r w:rsidRPr="0029489E">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944252" w:rsidP="004D3814">
                  <w:pPr>
                    <w:jc w:val="right"/>
                    <w:rPr>
                      <w:rFonts w:ascii="Segoe UI" w:hAnsi="Segoe UI" w:cs="Segoe UI"/>
                      <w:b/>
                      <w:sz w:val="56"/>
                      <w:szCs w:val="72"/>
                      <w:u w:val="single"/>
                    </w:rPr>
                  </w:pPr>
                  <w:r>
                    <w:rPr>
                      <w:rFonts w:ascii="Segoe UI" w:hAnsi="Segoe UI" w:cs="Segoe UI"/>
                      <w:b/>
                      <w:sz w:val="56"/>
                      <w:szCs w:val="72"/>
                      <w:u w:val="single"/>
                    </w:rPr>
                    <w:t>Vale of White Horse</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29489E"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29489E"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29489E"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29489E"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29489E"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0C2CD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C2CD5" w:rsidRDefault="000C2CD5" w:rsidP="000C2CD5">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200" w:type="dxa"/>
            <w:tcBorders>
              <w:top w:val="nil"/>
              <w:left w:val="nil"/>
              <w:bottom w:val="single" w:sz="4" w:space="0" w:color="auto"/>
              <w:right w:val="single" w:sz="4" w:space="0" w:color="auto"/>
            </w:tcBorders>
            <w:shd w:val="clear" w:color="auto" w:fill="auto"/>
            <w:noWrap/>
            <w:vAlign w:val="bottom"/>
            <w:hideMark/>
          </w:tcPr>
          <w:p w:rsidR="000C2CD5" w:rsidRDefault="000C2CD5" w:rsidP="000C2CD5">
            <w:pPr>
              <w:spacing w:after="100" w:afterAutospacing="1"/>
              <w:jc w:val="right"/>
              <w:rPr>
                <w:rFonts w:ascii="Tahoma" w:hAnsi="Tahoma" w:cs="Tahoma"/>
                <w:color w:val="000000"/>
                <w:sz w:val="16"/>
                <w:szCs w:val="16"/>
              </w:rPr>
            </w:pPr>
            <w:r>
              <w:rPr>
                <w:rFonts w:ascii="Tahoma" w:hAnsi="Tahoma" w:cs="Tahoma"/>
                <w:color w:val="000000"/>
                <w:sz w:val="16"/>
                <w:szCs w:val="16"/>
              </w:rPr>
              <w:t>4423</w:t>
            </w:r>
          </w:p>
        </w:tc>
        <w:tc>
          <w:tcPr>
            <w:tcW w:w="1200" w:type="dxa"/>
            <w:tcBorders>
              <w:top w:val="nil"/>
              <w:left w:val="nil"/>
              <w:bottom w:val="single" w:sz="4" w:space="0" w:color="auto"/>
              <w:right w:val="single" w:sz="4" w:space="0" w:color="auto"/>
            </w:tcBorders>
            <w:shd w:val="clear" w:color="auto" w:fill="auto"/>
            <w:noWrap/>
            <w:vAlign w:val="bottom"/>
            <w:hideMark/>
          </w:tcPr>
          <w:p w:rsidR="000C2CD5" w:rsidRDefault="000C2CD5" w:rsidP="000C2CD5">
            <w:pPr>
              <w:spacing w:after="100" w:afterAutospacing="1"/>
              <w:jc w:val="right"/>
              <w:rPr>
                <w:rFonts w:ascii="Tahoma" w:hAnsi="Tahoma" w:cs="Tahoma"/>
                <w:color w:val="000000"/>
                <w:sz w:val="16"/>
                <w:szCs w:val="16"/>
              </w:rPr>
            </w:pPr>
            <w:r>
              <w:rPr>
                <w:rFonts w:ascii="Tahoma" w:hAnsi="Tahoma" w:cs="Tahoma"/>
                <w:color w:val="000000"/>
                <w:sz w:val="16"/>
                <w:szCs w:val="16"/>
              </w:rPr>
              <w:t>4460</w:t>
            </w:r>
          </w:p>
        </w:tc>
        <w:tc>
          <w:tcPr>
            <w:tcW w:w="1200" w:type="dxa"/>
            <w:tcBorders>
              <w:top w:val="nil"/>
              <w:left w:val="nil"/>
              <w:bottom w:val="single" w:sz="4" w:space="0" w:color="auto"/>
              <w:right w:val="single" w:sz="4" w:space="0" w:color="auto"/>
            </w:tcBorders>
            <w:shd w:val="clear" w:color="auto" w:fill="auto"/>
            <w:noWrap/>
            <w:vAlign w:val="bottom"/>
            <w:hideMark/>
          </w:tcPr>
          <w:p w:rsidR="000C2CD5" w:rsidRDefault="000C2CD5" w:rsidP="000C2CD5">
            <w:pPr>
              <w:spacing w:after="100" w:afterAutospacing="1"/>
              <w:jc w:val="right"/>
              <w:rPr>
                <w:rFonts w:ascii="Tahoma" w:hAnsi="Tahoma" w:cs="Tahoma"/>
                <w:color w:val="000000"/>
                <w:sz w:val="16"/>
                <w:szCs w:val="16"/>
              </w:rPr>
            </w:pPr>
            <w:r>
              <w:rPr>
                <w:rFonts w:ascii="Tahoma" w:hAnsi="Tahoma" w:cs="Tahoma"/>
                <w:color w:val="000000"/>
                <w:sz w:val="16"/>
                <w:szCs w:val="16"/>
              </w:rPr>
              <w:t>4593</w:t>
            </w:r>
          </w:p>
        </w:tc>
        <w:tc>
          <w:tcPr>
            <w:tcW w:w="1200" w:type="dxa"/>
            <w:tcBorders>
              <w:top w:val="nil"/>
              <w:left w:val="nil"/>
              <w:bottom w:val="single" w:sz="4" w:space="0" w:color="auto"/>
              <w:right w:val="single" w:sz="4" w:space="0" w:color="auto"/>
            </w:tcBorders>
            <w:shd w:val="clear" w:color="auto" w:fill="auto"/>
            <w:noWrap/>
            <w:vAlign w:val="bottom"/>
            <w:hideMark/>
          </w:tcPr>
          <w:p w:rsidR="000C2CD5" w:rsidRDefault="000C2CD5" w:rsidP="000C2CD5">
            <w:pPr>
              <w:spacing w:after="100" w:afterAutospacing="1"/>
              <w:jc w:val="right"/>
              <w:rPr>
                <w:rFonts w:ascii="Tahoma" w:hAnsi="Tahoma" w:cs="Tahoma"/>
                <w:color w:val="000000"/>
                <w:sz w:val="16"/>
                <w:szCs w:val="16"/>
              </w:rPr>
            </w:pPr>
            <w:r>
              <w:rPr>
                <w:rFonts w:ascii="Tahoma" w:hAnsi="Tahoma" w:cs="Tahoma"/>
                <w:color w:val="000000"/>
                <w:sz w:val="16"/>
                <w:szCs w:val="16"/>
              </w:rPr>
              <w:t>4730</w:t>
            </w:r>
          </w:p>
        </w:tc>
        <w:tc>
          <w:tcPr>
            <w:tcW w:w="1200" w:type="dxa"/>
            <w:tcBorders>
              <w:top w:val="nil"/>
              <w:left w:val="nil"/>
              <w:bottom w:val="single" w:sz="4" w:space="0" w:color="auto"/>
              <w:right w:val="single" w:sz="4" w:space="0" w:color="auto"/>
            </w:tcBorders>
            <w:shd w:val="clear" w:color="auto" w:fill="auto"/>
            <w:noWrap/>
            <w:vAlign w:val="bottom"/>
            <w:hideMark/>
          </w:tcPr>
          <w:p w:rsidR="000C2CD5" w:rsidRDefault="000C2CD5" w:rsidP="000C2CD5">
            <w:pPr>
              <w:spacing w:after="100" w:afterAutospacing="1"/>
              <w:jc w:val="right"/>
              <w:rPr>
                <w:rFonts w:ascii="Tahoma" w:hAnsi="Tahoma" w:cs="Tahoma"/>
                <w:color w:val="000000"/>
                <w:sz w:val="16"/>
                <w:szCs w:val="16"/>
              </w:rPr>
            </w:pPr>
            <w:r>
              <w:rPr>
                <w:rFonts w:ascii="Tahoma" w:hAnsi="Tahoma" w:cs="Tahoma"/>
                <w:color w:val="000000"/>
                <w:sz w:val="16"/>
                <w:szCs w:val="16"/>
              </w:rPr>
              <w:t>4827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0C2CD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C2CD5" w:rsidRDefault="000C2CD5" w:rsidP="000C2CD5">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200" w:type="dxa"/>
            <w:tcBorders>
              <w:top w:val="nil"/>
              <w:left w:val="nil"/>
              <w:bottom w:val="single" w:sz="4" w:space="0" w:color="auto"/>
              <w:right w:val="single" w:sz="4" w:space="0" w:color="auto"/>
            </w:tcBorders>
            <w:shd w:val="clear" w:color="auto" w:fill="auto"/>
            <w:noWrap/>
            <w:vAlign w:val="bottom"/>
            <w:hideMark/>
          </w:tcPr>
          <w:p w:rsidR="000C2CD5" w:rsidRDefault="000C2CD5" w:rsidP="000C2CD5">
            <w:pPr>
              <w:spacing w:after="100" w:afterAutospacing="1"/>
              <w:jc w:val="right"/>
              <w:rPr>
                <w:rFonts w:ascii="Tahoma" w:hAnsi="Tahoma" w:cs="Tahoma"/>
                <w:color w:val="000000"/>
                <w:sz w:val="16"/>
                <w:szCs w:val="16"/>
              </w:rPr>
            </w:pPr>
            <w:r>
              <w:rPr>
                <w:rFonts w:ascii="Tahoma" w:hAnsi="Tahoma" w:cs="Tahoma"/>
                <w:color w:val="000000"/>
                <w:sz w:val="16"/>
                <w:szCs w:val="16"/>
              </w:rPr>
              <w:t>3543</w:t>
            </w:r>
          </w:p>
        </w:tc>
        <w:tc>
          <w:tcPr>
            <w:tcW w:w="1200" w:type="dxa"/>
            <w:tcBorders>
              <w:top w:val="nil"/>
              <w:left w:val="nil"/>
              <w:bottom w:val="single" w:sz="4" w:space="0" w:color="auto"/>
              <w:right w:val="single" w:sz="4" w:space="0" w:color="auto"/>
            </w:tcBorders>
            <w:shd w:val="clear" w:color="auto" w:fill="auto"/>
            <w:noWrap/>
            <w:vAlign w:val="bottom"/>
            <w:hideMark/>
          </w:tcPr>
          <w:p w:rsidR="000C2CD5" w:rsidRDefault="000C2CD5" w:rsidP="000C2CD5">
            <w:pPr>
              <w:spacing w:after="100" w:afterAutospacing="1"/>
              <w:jc w:val="right"/>
              <w:rPr>
                <w:rFonts w:ascii="Tahoma" w:hAnsi="Tahoma" w:cs="Tahoma"/>
                <w:color w:val="000000"/>
                <w:sz w:val="16"/>
                <w:szCs w:val="16"/>
              </w:rPr>
            </w:pPr>
            <w:r>
              <w:rPr>
                <w:rFonts w:ascii="Tahoma" w:hAnsi="Tahoma" w:cs="Tahoma"/>
                <w:color w:val="000000"/>
                <w:sz w:val="16"/>
                <w:szCs w:val="16"/>
              </w:rPr>
              <w:t>3555</w:t>
            </w:r>
          </w:p>
        </w:tc>
        <w:tc>
          <w:tcPr>
            <w:tcW w:w="1200" w:type="dxa"/>
            <w:tcBorders>
              <w:top w:val="nil"/>
              <w:left w:val="nil"/>
              <w:bottom w:val="single" w:sz="4" w:space="0" w:color="auto"/>
              <w:right w:val="single" w:sz="4" w:space="0" w:color="auto"/>
            </w:tcBorders>
            <w:shd w:val="clear" w:color="auto" w:fill="auto"/>
            <w:noWrap/>
            <w:vAlign w:val="bottom"/>
            <w:hideMark/>
          </w:tcPr>
          <w:p w:rsidR="000C2CD5" w:rsidRDefault="000C2CD5" w:rsidP="000C2CD5">
            <w:pPr>
              <w:spacing w:after="100" w:afterAutospacing="1"/>
              <w:jc w:val="right"/>
              <w:rPr>
                <w:rFonts w:ascii="Tahoma" w:hAnsi="Tahoma" w:cs="Tahoma"/>
                <w:color w:val="000000"/>
                <w:sz w:val="16"/>
                <w:szCs w:val="16"/>
              </w:rPr>
            </w:pPr>
            <w:r>
              <w:rPr>
                <w:rFonts w:ascii="Tahoma" w:hAnsi="Tahoma" w:cs="Tahoma"/>
                <w:color w:val="000000"/>
                <w:sz w:val="16"/>
                <w:szCs w:val="16"/>
              </w:rPr>
              <w:t>3646</w:t>
            </w:r>
          </w:p>
        </w:tc>
        <w:tc>
          <w:tcPr>
            <w:tcW w:w="1200" w:type="dxa"/>
            <w:tcBorders>
              <w:top w:val="nil"/>
              <w:left w:val="nil"/>
              <w:bottom w:val="single" w:sz="4" w:space="0" w:color="auto"/>
              <w:right w:val="single" w:sz="4" w:space="0" w:color="auto"/>
            </w:tcBorders>
            <w:shd w:val="clear" w:color="auto" w:fill="auto"/>
            <w:noWrap/>
            <w:vAlign w:val="bottom"/>
            <w:hideMark/>
          </w:tcPr>
          <w:p w:rsidR="000C2CD5" w:rsidRDefault="000C2CD5" w:rsidP="000C2CD5">
            <w:pPr>
              <w:spacing w:after="100" w:afterAutospacing="1"/>
              <w:jc w:val="right"/>
              <w:rPr>
                <w:rFonts w:ascii="Tahoma" w:hAnsi="Tahoma" w:cs="Tahoma"/>
                <w:color w:val="000000"/>
                <w:sz w:val="16"/>
                <w:szCs w:val="16"/>
              </w:rPr>
            </w:pPr>
            <w:r>
              <w:rPr>
                <w:rFonts w:ascii="Tahoma" w:hAnsi="Tahoma" w:cs="Tahoma"/>
                <w:color w:val="000000"/>
                <w:sz w:val="16"/>
                <w:szCs w:val="16"/>
              </w:rPr>
              <w:t>3728</w:t>
            </w:r>
          </w:p>
        </w:tc>
        <w:tc>
          <w:tcPr>
            <w:tcW w:w="1200" w:type="dxa"/>
            <w:tcBorders>
              <w:top w:val="nil"/>
              <w:left w:val="nil"/>
              <w:bottom w:val="single" w:sz="4" w:space="0" w:color="auto"/>
              <w:right w:val="single" w:sz="4" w:space="0" w:color="auto"/>
            </w:tcBorders>
            <w:shd w:val="clear" w:color="auto" w:fill="auto"/>
            <w:noWrap/>
            <w:vAlign w:val="bottom"/>
            <w:hideMark/>
          </w:tcPr>
          <w:p w:rsidR="000C2CD5" w:rsidRDefault="000C2CD5" w:rsidP="000C2CD5">
            <w:pPr>
              <w:spacing w:after="100" w:afterAutospacing="1"/>
              <w:jc w:val="right"/>
              <w:rPr>
                <w:rFonts w:ascii="Tahoma" w:hAnsi="Tahoma" w:cs="Tahoma"/>
                <w:color w:val="000000"/>
                <w:sz w:val="16"/>
                <w:szCs w:val="16"/>
              </w:rPr>
            </w:pPr>
            <w:r>
              <w:rPr>
                <w:rFonts w:ascii="Tahoma" w:hAnsi="Tahoma" w:cs="Tahoma"/>
                <w:color w:val="000000"/>
                <w:sz w:val="16"/>
                <w:szCs w:val="16"/>
              </w:rPr>
              <w:t>3792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0C2CD5"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0C2CD5" w:rsidRDefault="000C2CD5" w:rsidP="000C2CD5">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054" w:type="dxa"/>
            <w:tcBorders>
              <w:top w:val="nil"/>
              <w:left w:val="nil"/>
              <w:bottom w:val="single" w:sz="4" w:space="0" w:color="auto"/>
              <w:right w:val="single" w:sz="4" w:space="0" w:color="auto"/>
            </w:tcBorders>
            <w:shd w:val="clear" w:color="auto" w:fill="auto"/>
            <w:noWrap/>
            <w:vAlign w:val="bottom"/>
            <w:hideMark/>
          </w:tcPr>
          <w:p w:rsidR="000C2CD5" w:rsidRDefault="000C2CD5" w:rsidP="000C2CD5">
            <w:pPr>
              <w:spacing w:after="100" w:afterAutospacing="1"/>
              <w:jc w:val="right"/>
              <w:rPr>
                <w:rFonts w:ascii="Tahoma" w:hAnsi="Tahoma" w:cs="Tahoma"/>
                <w:color w:val="000000"/>
                <w:sz w:val="16"/>
                <w:szCs w:val="16"/>
              </w:rPr>
            </w:pPr>
            <w:r>
              <w:rPr>
                <w:rFonts w:ascii="Tahoma" w:hAnsi="Tahoma" w:cs="Tahoma"/>
                <w:color w:val="000000"/>
                <w:sz w:val="16"/>
                <w:szCs w:val="16"/>
              </w:rPr>
              <w:t>2774</w:t>
            </w:r>
          </w:p>
        </w:tc>
        <w:tc>
          <w:tcPr>
            <w:tcW w:w="1054" w:type="dxa"/>
            <w:tcBorders>
              <w:top w:val="nil"/>
              <w:left w:val="nil"/>
              <w:bottom w:val="single" w:sz="4" w:space="0" w:color="auto"/>
              <w:right w:val="single" w:sz="4" w:space="0" w:color="auto"/>
            </w:tcBorders>
            <w:shd w:val="clear" w:color="auto" w:fill="auto"/>
            <w:noWrap/>
            <w:vAlign w:val="bottom"/>
            <w:hideMark/>
          </w:tcPr>
          <w:p w:rsidR="000C2CD5" w:rsidRDefault="000C2CD5" w:rsidP="000C2CD5">
            <w:pPr>
              <w:spacing w:after="100" w:afterAutospacing="1"/>
              <w:jc w:val="right"/>
              <w:rPr>
                <w:rFonts w:ascii="Tahoma" w:hAnsi="Tahoma" w:cs="Tahoma"/>
                <w:color w:val="000000"/>
                <w:sz w:val="16"/>
                <w:szCs w:val="16"/>
              </w:rPr>
            </w:pPr>
            <w:r>
              <w:rPr>
                <w:rFonts w:ascii="Tahoma" w:hAnsi="Tahoma" w:cs="Tahoma"/>
                <w:color w:val="000000"/>
                <w:sz w:val="16"/>
                <w:szCs w:val="16"/>
              </w:rPr>
              <w:t>2782</w:t>
            </w:r>
          </w:p>
        </w:tc>
        <w:tc>
          <w:tcPr>
            <w:tcW w:w="1054" w:type="dxa"/>
            <w:tcBorders>
              <w:top w:val="nil"/>
              <w:left w:val="nil"/>
              <w:bottom w:val="single" w:sz="4" w:space="0" w:color="auto"/>
              <w:right w:val="single" w:sz="4" w:space="0" w:color="auto"/>
            </w:tcBorders>
            <w:shd w:val="clear" w:color="auto" w:fill="auto"/>
            <w:noWrap/>
            <w:vAlign w:val="bottom"/>
            <w:hideMark/>
          </w:tcPr>
          <w:p w:rsidR="000C2CD5" w:rsidRDefault="000C2CD5" w:rsidP="000C2CD5">
            <w:pPr>
              <w:spacing w:after="100" w:afterAutospacing="1"/>
              <w:jc w:val="right"/>
              <w:rPr>
                <w:rFonts w:ascii="Tahoma" w:hAnsi="Tahoma" w:cs="Tahoma"/>
                <w:color w:val="000000"/>
                <w:sz w:val="16"/>
                <w:szCs w:val="16"/>
              </w:rPr>
            </w:pPr>
            <w:r>
              <w:rPr>
                <w:rFonts w:ascii="Tahoma" w:hAnsi="Tahoma" w:cs="Tahoma"/>
                <w:color w:val="000000"/>
                <w:sz w:val="16"/>
                <w:szCs w:val="16"/>
              </w:rPr>
              <w:t>2886</w:t>
            </w:r>
          </w:p>
        </w:tc>
        <w:tc>
          <w:tcPr>
            <w:tcW w:w="1054" w:type="dxa"/>
            <w:tcBorders>
              <w:top w:val="nil"/>
              <w:left w:val="nil"/>
              <w:bottom w:val="single" w:sz="4" w:space="0" w:color="auto"/>
              <w:right w:val="single" w:sz="4" w:space="0" w:color="auto"/>
            </w:tcBorders>
            <w:shd w:val="clear" w:color="auto" w:fill="auto"/>
            <w:noWrap/>
            <w:vAlign w:val="bottom"/>
            <w:hideMark/>
          </w:tcPr>
          <w:p w:rsidR="000C2CD5" w:rsidRDefault="000C2CD5" w:rsidP="000C2CD5">
            <w:pPr>
              <w:spacing w:after="100" w:afterAutospacing="1"/>
              <w:jc w:val="right"/>
              <w:rPr>
                <w:rFonts w:ascii="Tahoma" w:hAnsi="Tahoma" w:cs="Tahoma"/>
                <w:color w:val="000000"/>
                <w:sz w:val="16"/>
                <w:szCs w:val="16"/>
              </w:rPr>
            </w:pPr>
            <w:r>
              <w:rPr>
                <w:rFonts w:ascii="Tahoma" w:hAnsi="Tahoma" w:cs="Tahoma"/>
                <w:color w:val="000000"/>
                <w:sz w:val="16"/>
                <w:szCs w:val="16"/>
              </w:rPr>
              <w:t>2937</w:t>
            </w:r>
          </w:p>
        </w:tc>
        <w:tc>
          <w:tcPr>
            <w:tcW w:w="1054" w:type="dxa"/>
            <w:tcBorders>
              <w:top w:val="nil"/>
              <w:left w:val="nil"/>
              <w:bottom w:val="single" w:sz="4" w:space="0" w:color="auto"/>
              <w:right w:val="single" w:sz="4" w:space="0" w:color="auto"/>
            </w:tcBorders>
            <w:shd w:val="clear" w:color="auto" w:fill="auto"/>
            <w:noWrap/>
            <w:vAlign w:val="bottom"/>
            <w:hideMark/>
          </w:tcPr>
          <w:p w:rsidR="000C2CD5" w:rsidRDefault="000C2CD5" w:rsidP="000C2CD5">
            <w:pPr>
              <w:spacing w:after="100" w:afterAutospacing="1"/>
              <w:jc w:val="right"/>
              <w:rPr>
                <w:rFonts w:ascii="Tahoma" w:hAnsi="Tahoma" w:cs="Tahoma"/>
                <w:color w:val="000000"/>
                <w:sz w:val="16"/>
                <w:szCs w:val="16"/>
              </w:rPr>
            </w:pPr>
            <w:r>
              <w:rPr>
                <w:rFonts w:ascii="Tahoma" w:hAnsi="Tahoma" w:cs="Tahoma"/>
                <w:color w:val="000000"/>
                <w:sz w:val="16"/>
                <w:szCs w:val="16"/>
              </w:rPr>
              <w:t>3006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566FA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66FA3" w:rsidRDefault="00566FA3" w:rsidP="00566FA3">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2818"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35.17</w:t>
            </w:r>
          </w:p>
        </w:tc>
        <w:tc>
          <w:tcPr>
            <w:tcW w:w="2647"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35.17</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566FA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66FA3" w:rsidRDefault="00566FA3" w:rsidP="00566FA3">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356"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28.96</w:t>
            </w:r>
          </w:p>
        </w:tc>
        <w:tc>
          <w:tcPr>
            <w:tcW w:w="1377"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0.93</w:t>
            </w:r>
          </w:p>
        </w:tc>
        <w:tc>
          <w:tcPr>
            <w:tcW w:w="1661"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318.7</w:t>
            </w:r>
          </w:p>
        </w:tc>
        <w:tc>
          <w:tcPr>
            <w:tcW w:w="1559"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49.52</w:t>
            </w:r>
          </w:p>
        </w:tc>
        <w:tc>
          <w:tcPr>
            <w:tcW w:w="1418"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398.11</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566FA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66FA3" w:rsidRDefault="00566FA3" w:rsidP="00566FA3">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276"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260.4</w:t>
            </w:r>
          </w:p>
        </w:tc>
        <w:tc>
          <w:tcPr>
            <w:tcW w:w="1417"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32.5</w:t>
            </w:r>
          </w:p>
        </w:tc>
        <w:tc>
          <w:tcPr>
            <w:tcW w:w="1559"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1583.3</w:t>
            </w:r>
          </w:p>
        </w:tc>
        <w:tc>
          <w:tcPr>
            <w:tcW w:w="1560"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634.6</w:t>
            </w:r>
          </w:p>
        </w:tc>
        <w:tc>
          <w:tcPr>
            <w:tcW w:w="1559"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2510.8</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566FA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66FA3" w:rsidRDefault="00566FA3" w:rsidP="00566FA3">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843"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65.06</w:t>
            </w:r>
          </w:p>
        </w:tc>
        <w:tc>
          <w:tcPr>
            <w:tcW w:w="1984"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368.22</w:t>
            </w:r>
          </w:p>
        </w:tc>
        <w:tc>
          <w:tcPr>
            <w:tcW w:w="1843"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2510.8</w:t>
            </w:r>
          </w:p>
        </w:tc>
        <w:tc>
          <w:tcPr>
            <w:tcW w:w="1701" w:type="dxa"/>
            <w:tcBorders>
              <w:top w:val="nil"/>
              <w:left w:val="nil"/>
              <w:bottom w:val="single" w:sz="4" w:space="0" w:color="auto"/>
              <w:right w:val="single" w:sz="4" w:space="0" w:color="auto"/>
            </w:tcBorders>
            <w:shd w:val="clear" w:color="auto" w:fill="auto"/>
            <w:noWrap/>
            <w:vAlign w:val="bottom"/>
            <w:hideMark/>
          </w:tcPr>
          <w:p w:rsidR="00566FA3" w:rsidRDefault="00566FA3" w:rsidP="00566FA3">
            <w:pPr>
              <w:spacing w:after="100" w:afterAutospacing="1"/>
              <w:jc w:val="right"/>
              <w:rPr>
                <w:rFonts w:ascii="Tahoma" w:hAnsi="Tahoma" w:cs="Tahoma"/>
                <w:color w:val="000000"/>
                <w:sz w:val="16"/>
                <w:szCs w:val="16"/>
              </w:rPr>
            </w:pPr>
            <w:r>
              <w:rPr>
                <w:rFonts w:ascii="Tahoma" w:hAnsi="Tahoma" w:cs="Tahoma"/>
                <w:color w:val="000000"/>
                <w:sz w:val="16"/>
                <w:szCs w:val="16"/>
              </w:rPr>
              <w:t>2944.1</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566FA3" w:rsidRPr="009500DD" w:rsidTr="00566FA3">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FA3" w:rsidRDefault="00566FA3" w:rsidP="00566FA3">
            <w:pPr>
              <w:spacing w:after="100" w:afterAutospacing="1"/>
              <w:rPr>
                <w:rFonts w:ascii="Calibri" w:hAnsi="Calibri" w:cs="Calibri"/>
                <w:color w:val="000000"/>
              </w:rPr>
            </w:pPr>
            <w:r>
              <w:rPr>
                <w:rFonts w:ascii="Calibri" w:hAnsi="Calibri" w:cs="Calibri"/>
                <w:color w:val="000000"/>
              </w:rPr>
              <w:t>Road length of principal roads in Oxfordshire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566FA3" w:rsidRDefault="00566FA3" w:rsidP="00566FA3">
            <w:pPr>
              <w:spacing w:after="100" w:afterAutospacing="1"/>
              <w:rPr>
                <w:rFonts w:ascii="Calibri" w:hAnsi="Calibri" w:cs="Calibri"/>
                <w:color w:val="000000"/>
              </w:rPr>
            </w:pPr>
            <w:r>
              <w:rPr>
                <w:rFonts w:ascii="Calibri" w:hAnsi="Calibri" w:cs="Calibri"/>
                <w:color w:val="000000"/>
              </w:rPr>
              <w:t>14.7miles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566FA3" w:rsidRPr="009500DD" w:rsidTr="00566FA3">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FA3" w:rsidRDefault="00566FA3" w:rsidP="00566FA3">
            <w:pPr>
              <w:spacing w:after="100" w:afterAutospacing="1"/>
              <w:rPr>
                <w:rFonts w:ascii="Calibri" w:hAnsi="Calibri" w:cs="Calibri"/>
                <w:color w:val="000000"/>
              </w:rPr>
            </w:pPr>
            <w:r>
              <w:rPr>
                <w:rFonts w:ascii="Calibri" w:hAnsi="Calibri" w:cs="Calibri"/>
                <w:color w:val="000000"/>
              </w:rPr>
              <w:t>Road length of non-principal roads in Oxfordshire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566FA3" w:rsidRDefault="00566FA3" w:rsidP="00566FA3">
            <w:pPr>
              <w:spacing w:after="100" w:afterAutospacing="1"/>
              <w:rPr>
                <w:rFonts w:ascii="Calibri" w:hAnsi="Calibri" w:cs="Calibri"/>
                <w:color w:val="000000"/>
              </w:rPr>
            </w:pPr>
            <w:r>
              <w:rPr>
                <w:rFonts w:ascii="Calibri" w:hAnsi="Calibri" w:cs="Calibri"/>
                <w:color w:val="000000"/>
              </w:rPr>
              <w:t>176miles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C2CD5"/>
    <w:rsid w:val="000D1137"/>
    <w:rsid w:val="000D57F2"/>
    <w:rsid w:val="000D6B86"/>
    <w:rsid w:val="000D7426"/>
    <w:rsid w:val="000E0225"/>
    <w:rsid w:val="000E2973"/>
    <w:rsid w:val="000E6E0C"/>
    <w:rsid w:val="000F05A5"/>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64D25"/>
    <w:rsid w:val="00170CCD"/>
    <w:rsid w:val="00171D21"/>
    <w:rsid w:val="001779A1"/>
    <w:rsid w:val="001818B2"/>
    <w:rsid w:val="00182EBD"/>
    <w:rsid w:val="0018377B"/>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4E9D"/>
    <w:rsid w:val="00205C7F"/>
    <w:rsid w:val="00212307"/>
    <w:rsid w:val="00214346"/>
    <w:rsid w:val="002143A4"/>
    <w:rsid w:val="0021628D"/>
    <w:rsid w:val="002211F3"/>
    <w:rsid w:val="00230193"/>
    <w:rsid w:val="00230CF6"/>
    <w:rsid w:val="002348E6"/>
    <w:rsid w:val="002408BD"/>
    <w:rsid w:val="0024527D"/>
    <w:rsid w:val="00246E3A"/>
    <w:rsid w:val="00247483"/>
    <w:rsid w:val="00256D31"/>
    <w:rsid w:val="00257FBA"/>
    <w:rsid w:val="002651E1"/>
    <w:rsid w:val="00274ED9"/>
    <w:rsid w:val="0029489E"/>
    <w:rsid w:val="002B39D0"/>
    <w:rsid w:val="002C13E8"/>
    <w:rsid w:val="002C6BB4"/>
    <w:rsid w:val="002D204E"/>
    <w:rsid w:val="002D62CB"/>
    <w:rsid w:val="002E57EA"/>
    <w:rsid w:val="002F3E91"/>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2992"/>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14FF4"/>
    <w:rsid w:val="00415E18"/>
    <w:rsid w:val="004167EC"/>
    <w:rsid w:val="00417448"/>
    <w:rsid w:val="00422A00"/>
    <w:rsid w:val="00427EEE"/>
    <w:rsid w:val="00443081"/>
    <w:rsid w:val="00443F34"/>
    <w:rsid w:val="00445CF6"/>
    <w:rsid w:val="00451FF7"/>
    <w:rsid w:val="00452B0C"/>
    <w:rsid w:val="004623CF"/>
    <w:rsid w:val="00465750"/>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6AA7"/>
    <w:rsid w:val="00517C92"/>
    <w:rsid w:val="0052568F"/>
    <w:rsid w:val="00525FC6"/>
    <w:rsid w:val="0054588F"/>
    <w:rsid w:val="00545A25"/>
    <w:rsid w:val="0054613A"/>
    <w:rsid w:val="00555F9F"/>
    <w:rsid w:val="00557B7F"/>
    <w:rsid w:val="00566FA3"/>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591F"/>
    <w:rsid w:val="00616D21"/>
    <w:rsid w:val="006245BC"/>
    <w:rsid w:val="00630C41"/>
    <w:rsid w:val="006464CF"/>
    <w:rsid w:val="0065405D"/>
    <w:rsid w:val="00662CDA"/>
    <w:rsid w:val="00665AAB"/>
    <w:rsid w:val="00667399"/>
    <w:rsid w:val="00672976"/>
    <w:rsid w:val="00675025"/>
    <w:rsid w:val="00680313"/>
    <w:rsid w:val="00680CB9"/>
    <w:rsid w:val="0068362E"/>
    <w:rsid w:val="00692E85"/>
    <w:rsid w:val="006931D7"/>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69F4"/>
    <w:rsid w:val="007716A8"/>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6B10"/>
    <w:rsid w:val="0083304D"/>
    <w:rsid w:val="00843934"/>
    <w:rsid w:val="008447A6"/>
    <w:rsid w:val="00855650"/>
    <w:rsid w:val="008576ED"/>
    <w:rsid w:val="008615B3"/>
    <w:rsid w:val="00863A32"/>
    <w:rsid w:val="00866A72"/>
    <w:rsid w:val="0086703C"/>
    <w:rsid w:val="00867BF8"/>
    <w:rsid w:val="00870CC8"/>
    <w:rsid w:val="00871D69"/>
    <w:rsid w:val="00884EF2"/>
    <w:rsid w:val="00886701"/>
    <w:rsid w:val="00886FEC"/>
    <w:rsid w:val="00890675"/>
    <w:rsid w:val="0089357E"/>
    <w:rsid w:val="008953FB"/>
    <w:rsid w:val="008A1121"/>
    <w:rsid w:val="008B21E0"/>
    <w:rsid w:val="008C01F1"/>
    <w:rsid w:val="008C071D"/>
    <w:rsid w:val="008C2353"/>
    <w:rsid w:val="008C64F0"/>
    <w:rsid w:val="008C78B5"/>
    <w:rsid w:val="008D1139"/>
    <w:rsid w:val="008D3C0F"/>
    <w:rsid w:val="008D66C0"/>
    <w:rsid w:val="008E2C36"/>
    <w:rsid w:val="008F0E11"/>
    <w:rsid w:val="008F3CBB"/>
    <w:rsid w:val="00912EBB"/>
    <w:rsid w:val="0091597E"/>
    <w:rsid w:val="00926DC5"/>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C7A51"/>
    <w:rsid w:val="00AD10D9"/>
    <w:rsid w:val="00AE3362"/>
    <w:rsid w:val="00AF0048"/>
    <w:rsid w:val="00B14FB6"/>
    <w:rsid w:val="00B33492"/>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B7598"/>
    <w:rsid w:val="00CD17F8"/>
    <w:rsid w:val="00CD5305"/>
    <w:rsid w:val="00CE1A68"/>
    <w:rsid w:val="00CF207D"/>
    <w:rsid w:val="00CF3F55"/>
    <w:rsid w:val="00CF66DB"/>
    <w:rsid w:val="00CF7E07"/>
    <w:rsid w:val="00D032A8"/>
    <w:rsid w:val="00D1146E"/>
    <w:rsid w:val="00D170C3"/>
    <w:rsid w:val="00D30E36"/>
    <w:rsid w:val="00D31FBD"/>
    <w:rsid w:val="00D32C9E"/>
    <w:rsid w:val="00D34678"/>
    <w:rsid w:val="00D360D0"/>
    <w:rsid w:val="00D3717A"/>
    <w:rsid w:val="00D43F68"/>
    <w:rsid w:val="00D44CBB"/>
    <w:rsid w:val="00D51F64"/>
    <w:rsid w:val="00D60E26"/>
    <w:rsid w:val="00D61059"/>
    <w:rsid w:val="00D625BB"/>
    <w:rsid w:val="00D711F4"/>
    <w:rsid w:val="00D72DD5"/>
    <w:rsid w:val="00D75666"/>
    <w:rsid w:val="00D8105E"/>
    <w:rsid w:val="00D83E34"/>
    <w:rsid w:val="00D85C8C"/>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3620"/>
    <w:rsid w:val="00E54A42"/>
    <w:rsid w:val="00E57E59"/>
    <w:rsid w:val="00E60537"/>
    <w:rsid w:val="00E62DF2"/>
    <w:rsid w:val="00E7007C"/>
    <w:rsid w:val="00E71C36"/>
    <w:rsid w:val="00E81122"/>
    <w:rsid w:val="00E83BB5"/>
    <w:rsid w:val="00E866F7"/>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Vale of White Horse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13.831193806259501</c:v>
                </c:pt>
                <c:pt idx="1">
                  <c:v>13.875899548551814</c:v>
                </c:pt>
                <c:pt idx="2">
                  <c:v>22.76741001178377</c:v>
                </c:pt>
              </c:numCache>
            </c:numRef>
          </c:val>
        </c:ser>
        <c:marker val="1"/>
        <c:axId val="162065408"/>
        <c:axId val="162095872"/>
      </c:lineChart>
      <c:catAx>
        <c:axId val="162065408"/>
        <c:scaling>
          <c:orientation val="minMax"/>
        </c:scaling>
        <c:axPos val="b"/>
        <c:numFmt formatCode="General" sourceLinked="1"/>
        <c:tickLblPos val="nextTo"/>
        <c:crossAx val="162095872"/>
        <c:crosses val="autoZero"/>
        <c:auto val="1"/>
        <c:lblAlgn val="ctr"/>
        <c:lblOffset val="100"/>
      </c:catAx>
      <c:valAx>
        <c:axId val="1620958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6540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Vale of White Horse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11.047598267385199</c:v>
                </c:pt>
                <c:pt idx="1">
                  <c:v>11.021197814629804</c:v>
                </c:pt>
                <c:pt idx="2">
                  <c:v>11.886009867369722</c:v>
                </c:pt>
              </c:numCache>
            </c:numRef>
          </c:val>
        </c:ser>
        <c:marker val="1"/>
        <c:axId val="163007104"/>
        <c:axId val="163033472"/>
      </c:lineChart>
      <c:catAx>
        <c:axId val="163007104"/>
        <c:scaling>
          <c:orientation val="minMax"/>
        </c:scaling>
        <c:axPos val="b"/>
        <c:numFmt formatCode="General" sourceLinked="1"/>
        <c:tickLblPos val="nextTo"/>
        <c:crossAx val="163033472"/>
        <c:crosses val="autoZero"/>
        <c:auto val="1"/>
        <c:lblAlgn val="ctr"/>
        <c:lblOffset val="100"/>
      </c:catAx>
      <c:valAx>
        <c:axId val="1630334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0710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Vale of White Horse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6.5439522607298555</c:v>
                </c:pt>
                <c:pt idx="1">
                  <c:v>6.6666666666666696</c:v>
                </c:pt>
                <c:pt idx="2">
                  <c:v>6.1015445284258902</c:v>
                </c:pt>
              </c:numCache>
            </c:numRef>
          </c:val>
        </c:ser>
        <c:axId val="163130368"/>
        <c:axId val="163140352"/>
      </c:barChart>
      <c:catAx>
        <c:axId val="163130368"/>
        <c:scaling>
          <c:orientation val="minMax"/>
        </c:scaling>
        <c:axPos val="b"/>
        <c:numFmt formatCode="General" sourceLinked="1"/>
        <c:tickLblPos val="nextTo"/>
        <c:crossAx val="163140352"/>
        <c:crosses val="autoZero"/>
        <c:auto val="1"/>
        <c:lblAlgn val="ctr"/>
        <c:lblOffset val="100"/>
      </c:catAx>
      <c:valAx>
        <c:axId val="163140352"/>
        <c:scaling>
          <c:orientation val="minMax"/>
        </c:scaling>
        <c:axPos val="l"/>
        <c:majorGridlines/>
        <c:numFmt formatCode="General" sourceLinked="1"/>
        <c:tickLblPos val="nextTo"/>
        <c:txPr>
          <a:bodyPr/>
          <a:lstStyle/>
          <a:p>
            <a:pPr>
              <a:defRPr sz="800"/>
            </a:pPr>
            <a:endParaRPr lang="en-US"/>
          </a:p>
        </c:txPr>
        <c:crossAx val="16313036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Vale of White Horse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9.5908666677450096</c:v>
                </c:pt>
                <c:pt idx="1">
                  <c:v>9.5854710848637907</c:v>
                </c:pt>
                <c:pt idx="2">
                  <c:v>9.6061021880207207</c:v>
                </c:pt>
              </c:numCache>
            </c:numRef>
          </c:val>
        </c:ser>
        <c:marker val="1"/>
        <c:axId val="163163136"/>
        <c:axId val="163058432"/>
      </c:lineChart>
      <c:catAx>
        <c:axId val="163163136"/>
        <c:scaling>
          <c:orientation val="minMax"/>
        </c:scaling>
        <c:axPos val="b"/>
        <c:numFmt formatCode="General" sourceLinked="1"/>
        <c:tickLblPos val="nextTo"/>
        <c:crossAx val="163058432"/>
        <c:crosses val="autoZero"/>
        <c:auto val="1"/>
        <c:lblAlgn val="ctr"/>
        <c:lblOffset val="100"/>
      </c:catAx>
      <c:valAx>
        <c:axId val="1630584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6313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Vale of White Horse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8.0551985310993945</c:v>
                </c:pt>
                <c:pt idx="1">
                  <c:v>8.0072297075254699</c:v>
                </c:pt>
                <c:pt idx="2">
                  <c:v>8.0362580786504498</c:v>
                </c:pt>
              </c:numCache>
            </c:numRef>
          </c:val>
        </c:ser>
        <c:axId val="163093888"/>
        <c:axId val="163099776"/>
      </c:barChart>
      <c:catAx>
        <c:axId val="163093888"/>
        <c:scaling>
          <c:orientation val="minMax"/>
        </c:scaling>
        <c:axPos val="b"/>
        <c:numFmt formatCode="General" sourceLinked="1"/>
        <c:tickLblPos val="nextTo"/>
        <c:crossAx val="163099776"/>
        <c:crosses val="autoZero"/>
        <c:auto val="1"/>
        <c:lblAlgn val="ctr"/>
        <c:lblOffset val="100"/>
      </c:catAx>
      <c:valAx>
        <c:axId val="163099776"/>
        <c:scaling>
          <c:orientation val="minMax"/>
        </c:scaling>
        <c:axPos val="l"/>
        <c:majorGridlines/>
        <c:numFmt formatCode="General" sourceLinked="1"/>
        <c:tickLblPos val="nextTo"/>
        <c:txPr>
          <a:bodyPr/>
          <a:lstStyle/>
          <a:p>
            <a:pPr>
              <a:defRPr sz="800"/>
            </a:pPr>
            <a:endParaRPr lang="en-US"/>
          </a:p>
        </c:txPr>
        <c:crossAx val="16309388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Vale of White Horse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7.9954144088769521</c:v>
                </c:pt>
                <c:pt idx="1">
                  <c:v>7.9218261054925376</c:v>
                </c:pt>
                <c:pt idx="2">
                  <c:v>7.982312537797795</c:v>
                </c:pt>
              </c:numCache>
            </c:numRef>
          </c:val>
        </c:ser>
        <c:marker val="1"/>
        <c:axId val="163192192"/>
        <c:axId val="163206272"/>
      </c:lineChart>
      <c:catAx>
        <c:axId val="163192192"/>
        <c:scaling>
          <c:orientation val="minMax"/>
        </c:scaling>
        <c:axPos val="b"/>
        <c:numFmt formatCode="General" sourceLinked="1"/>
        <c:tickLblPos val="nextTo"/>
        <c:crossAx val="163206272"/>
        <c:crosses val="autoZero"/>
        <c:auto val="1"/>
        <c:lblAlgn val="ctr"/>
        <c:lblOffset val="100"/>
      </c:catAx>
      <c:valAx>
        <c:axId val="1632062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9219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Vale of White Horse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9.9983933899472106</c:v>
                </c:pt>
                <c:pt idx="1">
                  <c:v>10</c:v>
                </c:pt>
                <c:pt idx="2">
                  <c:v>10</c:v>
                </c:pt>
              </c:numCache>
            </c:numRef>
          </c:val>
        </c:ser>
        <c:axId val="163241984"/>
        <c:axId val="163243520"/>
      </c:barChart>
      <c:catAx>
        <c:axId val="163241984"/>
        <c:scaling>
          <c:orientation val="minMax"/>
        </c:scaling>
        <c:axPos val="b"/>
        <c:numFmt formatCode="General" sourceLinked="1"/>
        <c:tickLblPos val="nextTo"/>
        <c:crossAx val="163243520"/>
        <c:crosses val="autoZero"/>
        <c:auto val="1"/>
        <c:lblAlgn val="ctr"/>
        <c:lblOffset val="100"/>
      </c:catAx>
      <c:valAx>
        <c:axId val="163243520"/>
        <c:scaling>
          <c:orientation val="minMax"/>
        </c:scaling>
        <c:axPos val="l"/>
        <c:majorGridlines/>
        <c:numFmt formatCode="General" sourceLinked="1"/>
        <c:tickLblPos val="nextTo"/>
        <c:txPr>
          <a:bodyPr/>
          <a:lstStyle/>
          <a:p>
            <a:pPr>
              <a:defRPr sz="800"/>
            </a:pPr>
            <a:endParaRPr lang="en-US"/>
          </a:p>
        </c:txPr>
        <c:crossAx val="163241984"/>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Vale of White Horse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23.896472755980799</c:v>
                </c:pt>
                <c:pt idx="1">
                  <c:v>22.861717662958199</c:v>
                </c:pt>
                <c:pt idx="2">
                  <c:v>25.450980816052521</c:v>
                </c:pt>
              </c:numCache>
            </c:numRef>
          </c:val>
        </c:ser>
        <c:marker val="1"/>
        <c:axId val="163299328"/>
        <c:axId val="163300864"/>
      </c:lineChart>
      <c:catAx>
        <c:axId val="163299328"/>
        <c:scaling>
          <c:orientation val="minMax"/>
        </c:scaling>
        <c:axPos val="b"/>
        <c:numFmt formatCode="General" sourceLinked="1"/>
        <c:tickLblPos val="nextTo"/>
        <c:crossAx val="163300864"/>
        <c:crosses val="autoZero"/>
        <c:auto val="1"/>
        <c:lblAlgn val="ctr"/>
        <c:lblOffset val="100"/>
      </c:catAx>
      <c:valAx>
        <c:axId val="1633008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9932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Vale of White Horse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1.4638662429183376</c:v>
                </c:pt>
                <c:pt idx="1">
                  <c:v>1.5194647201946483</c:v>
                </c:pt>
                <c:pt idx="2">
                  <c:v>1.3851040821843685</c:v>
                </c:pt>
              </c:numCache>
            </c:numRef>
          </c:val>
        </c:ser>
        <c:axId val="163418112"/>
        <c:axId val="163419648"/>
      </c:barChart>
      <c:catAx>
        <c:axId val="163418112"/>
        <c:scaling>
          <c:orientation val="minMax"/>
        </c:scaling>
        <c:axPos val="b"/>
        <c:numFmt formatCode="General" sourceLinked="1"/>
        <c:tickLblPos val="nextTo"/>
        <c:crossAx val="163419648"/>
        <c:crosses val="autoZero"/>
        <c:auto val="1"/>
        <c:lblAlgn val="ctr"/>
        <c:lblOffset val="100"/>
      </c:catAx>
      <c:valAx>
        <c:axId val="163419648"/>
        <c:scaling>
          <c:orientation val="minMax"/>
        </c:scaling>
        <c:axPos val="l"/>
        <c:majorGridlines/>
        <c:numFmt formatCode="General" sourceLinked="1"/>
        <c:tickLblPos val="nextTo"/>
        <c:txPr>
          <a:bodyPr/>
          <a:lstStyle/>
          <a:p>
            <a:pPr>
              <a:defRPr sz="800"/>
            </a:pPr>
            <a:endParaRPr lang="en-US"/>
          </a:p>
        </c:txPr>
        <c:crossAx val="16341811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Vale of White Horse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18.545869255778602</c:v>
                </c:pt>
                <c:pt idx="1">
                  <c:v>18.361205245415</c:v>
                </c:pt>
                <c:pt idx="2">
                  <c:v>18.175582649475089</c:v>
                </c:pt>
              </c:numCache>
            </c:numRef>
          </c:val>
        </c:ser>
        <c:marker val="1"/>
        <c:axId val="163323904"/>
        <c:axId val="163325440"/>
      </c:lineChart>
      <c:catAx>
        <c:axId val="163323904"/>
        <c:scaling>
          <c:orientation val="minMax"/>
        </c:scaling>
        <c:axPos val="b"/>
        <c:numFmt formatCode="General" sourceLinked="1"/>
        <c:tickLblPos val="nextTo"/>
        <c:crossAx val="163325440"/>
        <c:crosses val="autoZero"/>
        <c:auto val="1"/>
        <c:lblAlgn val="ctr"/>
        <c:lblOffset val="100"/>
      </c:catAx>
      <c:valAx>
        <c:axId val="1633254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2390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Vale of White Horse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2.2191515821473038</c:v>
                </c:pt>
                <c:pt idx="1">
                  <c:v>2.2921059745877277</c:v>
                </c:pt>
                <c:pt idx="2">
                  <c:v>2.4433630711003032</c:v>
                </c:pt>
              </c:numCache>
            </c:numRef>
          </c:val>
        </c:ser>
        <c:axId val="163357056"/>
        <c:axId val="163358592"/>
      </c:barChart>
      <c:catAx>
        <c:axId val="163357056"/>
        <c:scaling>
          <c:orientation val="minMax"/>
        </c:scaling>
        <c:axPos val="b"/>
        <c:numFmt formatCode="General" sourceLinked="1"/>
        <c:tickLblPos val="nextTo"/>
        <c:crossAx val="163358592"/>
        <c:crosses val="autoZero"/>
        <c:auto val="1"/>
        <c:lblAlgn val="ctr"/>
        <c:lblOffset val="100"/>
      </c:catAx>
      <c:valAx>
        <c:axId val="163358592"/>
        <c:scaling>
          <c:orientation val="minMax"/>
        </c:scaling>
        <c:axPos val="l"/>
        <c:majorGridlines/>
        <c:numFmt formatCode="General" sourceLinked="1"/>
        <c:tickLblPos val="nextTo"/>
        <c:txPr>
          <a:bodyPr/>
          <a:lstStyle/>
          <a:p>
            <a:pPr>
              <a:defRPr sz="800"/>
            </a:pPr>
            <a:endParaRPr lang="en-US"/>
          </a:p>
        </c:txPr>
        <c:crossAx val="16335705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Vale of White Horse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12.215167123096698</c:v>
                </c:pt>
                <c:pt idx="1">
                  <c:v>12.772883733350801</c:v>
                </c:pt>
                <c:pt idx="2">
                  <c:v>12.2748022528323</c:v>
                </c:pt>
              </c:numCache>
            </c:numRef>
          </c:val>
        </c:ser>
        <c:marker val="1"/>
        <c:axId val="162123776"/>
        <c:axId val="162125312"/>
      </c:lineChart>
      <c:catAx>
        <c:axId val="162123776"/>
        <c:scaling>
          <c:orientation val="minMax"/>
        </c:scaling>
        <c:axPos val="b"/>
        <c:numFmt formatCode="General" sourceLinked="1"/>
        <c:tickLblPos val="nextTo"/>
        <c:crossAx val="162125312"/>
        <c:crosses val="autoZero"/>
        <c:auto val="1"/>
        <c:lblAlgn val="ctr"/>
        <c:lblOffset val="100"/>
      </c:catAx>
      <c:valAx>
        <c:axId val="1621253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2377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Vale of White Horse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11.6620278860618</c:v>
                </c:pt>
                <c:pt idx="1">
                  <c:v>11.751824052801499</c:v>
                </c:pt>
                <c:pt idx="2">
                  <c:v>11.858164886147406</c:v>
                </c:pt>
              </c:numCache>
            </c:numRef>
          </c:val>
        </c:ser>
        <c:marker val="1"/>
        <c:axId val="163467648"/>
        <c:axId val="163469184"/>
      </c:lineChart>
      <c:catAx>
        <c:axId val="163467648"/>
        <c:scaling>
          <c:orientation val="minMax"/>
        </c:scaling>
        <c:axPos val="b"/>
        <c:numFmt formatCode="General" sourceLinked="1"/>
        <c:tickLblPos val="nextTo"/>
        <c:crossAx val="163469184"/>
        <c:crosses val="autoZero"/>
        <c:auto val="1"/>
        <c:lblAlgn val="ctr"/>
        <c:lblOffset val="100"/>
      </c:catAx>
      <c:valAx>
        <c:axId val="1634691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6764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Vale of White Horse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9.471742434710519</c:v>
                </c:pt>
                <c:pt idx="1">
                  <c:v>9.5145985401459896</c:v>
                </c:pt>
                <c:pt idx="2">
                  <c:v>9.6658556366585593</c:v>
                </c:pt>
              </c:numCache>
            </c:numRef>
          </c:val>
        </c:ser>
        <c:axId val="163521280"/>
        <c:axId val="163522816"/>
      </c:barChart>
      <c:catAx>
        <c:axId val="163521280"/>
        <c:scaling>
          <c:orientation val="minMax"/>
        </c:scaling>
        <c:axPos val="b"/>
        <c:numFmt formatCode="General" sourceLinked="1"/>
        <c:tickLblPos val="nextTo"/>
        <c:crossAx val="163522816"/>
        <c:crosses val="autoZero"/>
        <c:auto val="1"/>
        <c:lblAlgn val="ctr"/>
        <c:lblOffset val="100"/>
      </c:catAx>
      <c:valAx>
        <c:axId val="163522816"/>
        <c:scaling>
          <c:orientation val="minMax"/>
        </c:scaling>
        <c:axPos val="l"/>
        <c:majorGridlines/>
        <c:numFmt formatCode="General" sourceLinked="1"/>
        <c:tickLblPos val="nextTo"/>
        <c:txPr>
          <a:bodyPr/>
          <a:lstStyle/>
          <a:p>
            <a:pPr>
              <a:defRPr sz="800"/>
            </a:pPr>
            <a:endParaRPr lang="en-US"/>
          </a:p>
        </c:txPr>
        <c:crossAx val="16352128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Vale of White Horse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23.435667296370276</c:v>
                </c:pt>
                <c:pt idx="1">
                  <c:v>22.549150045484399</c:v>
                </c:pt>
                <c:pt idx="2">
                  <c:v>25.276658481037899</c:v>
                </c:pt>
              </c:numCache>
            </c:numRef>
          </c:val>
        </c:ser>
        <c:marker val="1"/>
        <c:axId val="163566336"/>
        <c:axId val="163567872"/>
      </c:lineChart>
      <c:catAx>
        <c:axId val="163566336"/>
        <c:scaling>
          <c:orientation val="minMax"/>
        </c:scaling>
        <c:axPos val="b"/>
        <c:numFmt formatCode="General" sourceLinked="1"/>
        <c:tickLblPos val="nextTo"/>
        <c:crossAx val="163567872"/>
        <c:crosses val="autoZero"/>
        <c:auto val="1"/>
        <c:lblAlgn val="ctr"/>
        <c:lblOffset val="100"/>
      </c:catAx>
      <c:valAx>
        <c:axId val="1635678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6633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Vale of White Horse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1.9069728178288001</c:v>
                </c:pt>
                <c:pt idx="1">
                  <c:v>1.9543973941368111</c:v>
                </c:pt>
                <c:pt idx="2">
                  <c:v>1.7759065131465899</c:v>
                </c:pt>
              </c:numCache>
            </c:numRef>
          </c:val>
        </c:ser>
        <c:axId val="163607680"/>
        <c:axId val="163609216"/>
      </c:barChart>
      <c:catAx>
        <c:axId val="163607680"/>
        <c:scaling>
          <c:orientation val="minMax"/>
        </c:scaling>
        <c:axPos val="b"/>
        <c:numFmt formatCode="General" sourceLinked="1"/>
        <c:tickLblPos val="nextTo"/>
        <c:crossAx val="163609216"/>
        <c:crosses val="autoZero"/>
        <c:auto val="1"/>
        <c:lblAlgn val="ctr"/>
        <c:lblOffset val="100"/>
      </c:catAx>
      <c:valAx>
        <c:axId val="163609216"/>
        <c:scaling>
          <c:orientation val="minMax"/>
        </c:scaling>
        <c:axPos val="l"/>
        <c:majorGridlines/>
        <c:numFmt formatCode="General" sourceLinked="1"/>
        <c:tickLblPos val="nextTo"/>
        <c:txPr>
          <a:bodyPr/>
          <a:lstStyle/>
          <a:p>
            <a:pPr>
              <a:defRPr sz="800"/>
            </a:pPr>
            <a:endParaRPr lang="en-US"/>
          </a:p>
        </c:txPr>
        <c:crossAx val="16360768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Vale of White Horse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18.612788282678</c:v>
                </c:pt>
                <c:pt idx="1">
                  <c:v>18.437699249188789</c:v>
                </c:pt>
                <c:pt idx="2">
                  <c:v>18.432872857861689</c:v>
                </c:pt>
              </c:numCache>
            </c:numRef>
          </c:val>
        </c:ser>
        <c:marker val="1"/>
        <c:axId val="163660928"/>
        <c:axId val="163662464"/>
      </c:lineChart>
      <c:catAx>
        <c:axId val="163660928"/>
        <c:scaling>
          <c:orientation val="minMax"/>
        </c:scaling>
        <c:axPos val="b"/>
        <c:numFmt formatCode="General" sourceLinked="1"/>
        <c:tickLblPos val="nextTo"/>
        <c:crossAx val="163662464"/>
        <c:crosses val="autoZero"/>
        <c:auto val="1"/>
        <c:lblAlgn val="ctr"/>
        <c:lblOffset val="100"/>
      </c:catAx>
      <c:valAx>
        <c:axId val="1636624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6092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Vale of White Horse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2.8441668073611299</c:v>
                </c:pt>
                <c:pt idx="1">
                  <c:v>2.8835933481913361</c:v>
                </c:pt>
                <c:pt idx="2">
                  <c:v>2.6324110671936798</c:v>
                </c:pt>
              </c:numCache>
            </c:numRef>
          </c:val>
        </c:ser>
        <c:axId val="163702272"/>
        <c:axId val="163703808"/>
      </c:barChart>
      <c:catAx>
        <c:axId val="163702272"/>
        <c:scaling>
          <c:orientation val="minMax"/>
        </c:scaling>
        <c:axPos val="b"/>
        <c:numFmt formatCode="General" sourceLinked="1"/>
        <c:tickLblPos val="nextTo"/>
        <c:crossAx val="163703808"/>
        <c:crosses val="autoZero"/>
        <c:auto val="1"/>
        <c:lblAlgn val="ctr"/>
        <c:lblOffset val="100"/>
      </c:catAx>
      <c:valAx>
        <c:axId val="163703808"/>
        <c:scaling>
          <c:orientation val="minMax"/>
        </c:scaling>
        <c:axPos val="l"/>
        <c:majorGridlines/>
        <c:numFmt formatCode="General" sourceLinked="1"/>
        <c:tickLblPos val="nextTo"/>
        <c:txPr>
          <a:bodyPr/>
          <a:lstStyle/>
          <a:p>
            <a:pPr>
              <a:defRPr sz="800"/>
            </a:pPr>
            <a:endParaRPr lang="en-US"/>
          </a:p>
        </c:txPr>
        <c:crossAx val="163702272"/>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Vale of White Horse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11.564143360885099</c:v>
                </c:pt>
                <c:pt idx="1">
                  <c:v>11.6700257375871</c:v>
                </c:pt>
                <c:pt idx="2">
                  <c:v>11.853524607091504</c:v>
                </c:pt>
              </c:numCache>
            </c:numRef>
          </c:val>
        </c:ser>
        <c:marker val="1"/>
        <c:axId val="163743232"/>
        <c:axId val="163744768"/>
      </c:lineChart>
      <c:catAx>
        <c:axId val="163743232"/>
        <c:scaling>
          <c:orientation val="minMax"/>
        </c:scaling>
        <c:axPos val="b"/>
        <c:numFmt formatCode="General" sourceLinked="1"/>
        <c:tickLblPos val="nextTo"/>
        <c:crossAx val="163744768"/>
        <c:crosses val="autoZero"/>
        <c:auto val="1"/>
        <c:lblAlgn val="ctr"/>
        <c:lblOffset val="100"/>
      </c:catAx>
      <c:valAx>
        <c:axId val="1637447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4323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Vale of White Horse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9.4452135742022598</c:v>
                </c:pt>
                <c:pt idx="1">
                  <c:v>9.5755186010629227</c:v>
                </c:pt>
                <c:pt idx="2">
                  <c:v>9.3081285444234307</c:v>
                </c:pt>
              </c:numCache>
            </c:numRef>
          </c:val>
        </c:ser>
        <c:axId val="163862784"/>
        <c:axId val="163880960"/>
      </c:barChart>
      <c:catAx>
        <c:axId val="163862784"/>
        <c:scaling>
          <c:orientation val="minMax"/>
        </c:scaling>
        <c:axPos val="b"/>
        <c:numFmt formatCode="General" sourceLinked="1"/>
        <c:tickLblPos val="nextTo"/>
        <c:crossAx val="163880960"/>
        <c:crosses val="autoZero"/>
        <c:auto val="1"/>
        <c:lblAlgn val="ctr"/>
        <c:lblOffset val="100"/>
      </c:catAx>
      <c:valAx>
        <c:axId val="163880960"/>
        <c:scaling>
          <c:orientation val="minMax"/>
        </c:scaling>
        <c:axPos val="l"/>
        <c:majorGridlines/>
        <c:numFmt formatCode="General" sourceLinked="1"/>
        <c:tickLblPos val="nextTo"/>
        <c:txPr>
          <a:bodyPr/>
          <a:lstStyle/>
          <a:p>
            <a:pPr>
              <a:defRPr sz="800"/>
            </a:pPr>
            <a:endParaRPr lang="en-US"/>
          </a:p>
        </c:txPr>
        <c:crossAx val="16386278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Vale of White Horse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17.656729532522576</c:v>
                </c:pt>
                <c:pt idx="1">
                  <c:v>17.589232607905476</c:v>
                </c:pt>
              </c:numCache>
            </c:numRef>
          </c:val>
        </c:ser>
        <c:marker val="1"/>
        <c:axId val="163903744"/>
        <c:axId val="163778560"/>
      </c:lineChart>
      <c:catAx>
        <c:axId val="163903744"/>
        <c:scaling>
          <c:orientation val="minMax"/>
        </c:scaling>
        <c:axPos val="b"/>
        <c:numFmt formatCode="General" sourceLinked="1"/>
        <c:tickLblPos val="nextTo"/>
        <c:crossAx val="163778560"/>
        <c:crosses val="autoZero"/>
        <c:auto val="1"/>
        <c:lblAlgn val="ctr"/>
        <c:lblOffset val="100"/>
      </c:catAx>
      <c:valAx>
        <c:axId val="1637785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0374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Vale of White Horse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3.5671271403755549</c:v>
                </c:pt>
                <c:pt idx="1">
                  <c:v>4.26892388148661</c:v>
                </c:pt>
              </c:numCache>
            </c:numRef>
          </c:val>
        </c:ser>
        <c:axId val="163818112"/>
        <c:axId val="163828096"/>
      </c:barChart>
      <c:catAx>
        <c:axId val="163818112"/>
        <c:scaling>
          <c:orientation val="minMax"/>
        </c:scaling>
        <c:axPos val="b"/>
        <c:numFmt formatCode="General" sourceLinked="1"/>
        <c:tickLblPos val="nextTo"/>
        <c:crossAx val="163828096"/>
        <c:crosses val="autoZero"/>
        <c:auto val="1"/>
        <c:lblAlgn val="ctr"/>
        <c:lblOffset val="100"/>
      </c:catAx>
      <c:valAx>
        <c:axId val="163828096"/>
        <c:scaling>
          <c:orientation val="minMax"/>
        </c:scaling>
        <c:axPos val="l"/>
        <c:majorGridlines/>
        <c:numFmt formatCode="General" sourceLinked="1"/>
        <c:tickLblPos val="nextTo"/>
        <c:txPr>
          <a:bodyPr/>
          <a:lstStyle/>
          <a:p>
            <a:pPr>
              <a:defRPr sz="800"/>
            </a:pPr>
            <a:endParaRPr lang="en-US"/>
          </a:p>
        </c:txPr>
        <c:crossAx val="16381811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Vale of White Horse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8.7739132874076393</c:v>
                </c:pt>
                <c:pt idx="1">
                  <c:v>8.9011735889051309</c:v>
                </c:pt>
                <c:pt idx="2">
                  <c:v>8.7671229203387639</c:v>
                </c:pt>
              </c:numCache>
            </c:numRef>
          </c:val>
        </c:ser>
        <c:marker val="1"/>
        <c:axId val="131834240"/>
        <c:axId val="131835776"/>
      </c:lineChart>
      <c:catAx>
        <c:axId val="131834240"/>
        <c:scaling>
          <c:orientation val="minMax"/>
        </c:scaling>
        <c:axPos val="b"/>
        <c:numFmt formatCode="General" sourceLinked="1"/>
        <c:tickLblPos val="nextTo"/>
        <c:crossAx val="131835776"/>
        <c:crosses val="autoZero"/>
        <c:auto val="1"/>
        <c:lblAlgn val="ctr"/>
        <c:lblOffset val="100"/>
      </c:catAx>
      <c:valAx>
        <c:axId val="13183577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183424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Vale of White Horse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13.939399576209508</c:v>
                </c:pt>
                <c:pt idx="1">
                  <c:v>14.252590811839317</c:v>
                </c:pt>
              </c:numCache>
            </c:numRef>
          </c:val>
        </c:ser>
        <c:marker val="1"/>
        <c:axId val="163924608"/>
        <c:axId val="163934592"/>
      </c:lineChart>
      <c:catAx>
        <c:axId val="163924608"/>
        <c:scaling>
          <c:orientation val="minMax"/>
        </c:scaling>
        <c:axPos val="b"/>
        <c:numFmt formatCode="General" sourceLinked="1"/>
        <c:tickLblPos val="nextTo"/>
        <c:crossAx val="163934592"/>
        <c:crosses val="autoZero"/>
        <c:auto val="1"/>
        <c:lblAlgn val="ctr"/>
        <c:lblOffset val="100"/>
      </c:catAx>
      <c:valAx>
        <c:axId val="1639345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2460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Vale of White Horse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4.2002233435354501</c:v>
                </c:pt>
                <c:pt idx="1">
                  <c:v>5.0910384341773902</c:v>
                </c:pt>
              </c:numCache>
            </c:numRef>
          </c:val>
        </c:ser>
        <c:axId val="163974144"/>
        <c:axId val="163988224"/>
      </c:barChart>
      <c:catAx>
        <c:axId val="163974144"/>
        <c:scaling>
          <c:orientation val="minMax"/>
        </c:scaling>
        <c:axPos val="b"/>
        <c:numFmt formatCode="General" sourceLinked="1"/>
        <c:tickLblPos val="nextTo"/>
        <c:crossAx val="163988224"/>
        <c:crosses val="autoZero"/>
        <c:auto val="1"/>
        <c:lblAlgn val="ctr"/>
        <c:lblOffset val="100"/>
      </c:catAx>
      <c:valAx>
        <c:axId val="163988224"/>
        <c:scaling>
          <c:orientation val="minMax"/>
        </c:scaling>
        <c:axPos val="l"/>
        <c:majorGridlines/>
        <c:numFmt formatCode="General" sourceLinked="1"/>
        <c:tickLblPos val="nextTo"/>
        <c:txPr>
          <a:bodyPr/>
          <a:lstStyle/>
          <a:p>
            <a:pPr>
              <a:defRPr sz="800"/>
            </a:pPr>
            <a:endParaRPr lang="en-US"/>
          </a:p>
        </c:txPr>
        <c:crossAx val="16397414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Vale of White Horse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9.6946113196629202</c:v>
                </c:pt>
                <c:pt idx="1">
                  <c:v>9.4793753503390903</c:v>
                </c:pt>
              </c:numCache>
            </c:numRef>
          </c:val>
        </c:ser>
        <c:marker val="1"/>
        <c:axId val="164019200"/>
        <c:axId val="164029184"/>
      </c:lineChart>
      <c:catAx>
        <c:axId val="164019200"/>
        <c:scaling>
          <c:orientation val="minMax"/>
        </c:scaling>
        <c:axPos val="b"/>
        <c:numFmt formatCode="General" sourceLinked="1"/>
        <c:tickLblPos val="nextTo"/>
        <c:crossAx val="164029184"/>
        <c:crosses val="autoZero"/>
        <c:auto val="1"/>
        <c:lblAlgn val="ctr"/>
        <c:lblOffset val="100"/>
      </c:catAx>
      <c:valAx>
        <c:axId val="1640291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01920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Vale of White Horse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9.9666225494251091</c:v>
                </c:pt>
                <c:pt idx="1">
                  <c:v>9.9917901982273047</c:v>
                </c:pt>
              </c:numCache>
            </c:numRef>
          </c:val>
        </c:ser>
        <c:axId val="164060544"/>
        <c:axId val="164070528"/>
      </c:barChart>
      <c:catAx>
        <c:axId val="164060544"/>
        <c:scaling>
          <c:orientation val="minMax"/>
        </c:scaling>
        <c:axPos val="b"/>
        <c:numFmt formatCode="General" sourceLinked="1"/>
        <c:tickLblPos val="nextTo"/>
        <c:crossAx val="164070528"/>
        <c:crosses val="autoZero"/>
        <c:auto val="1"/>
        <c:lblAlgn val="ctr"/>
        <c:lblOffset val="100"/>
      </c:catAx>
      <c:valAx>
        <c:axId val="164070528"/>
        <c:scaling>
          <c:orientation val="minMax"/>
        </c:scaling>
        <c:axPos val="l"/>
        <c:majorGridlines/>
        <c:numFmt formatCode="General" sourceLinked="1"/>
        <c:tickLblPos val="nextTo"/>
        <c:txPr>
          <a:bodyPr/>
          <a:lstStyle/>
          <a:p>
            <a:pPr>
              <a:defRPr sz="800"/>
            </a:pPr>
            <a:endParaRPr lang="en-US"/>
          </a:p>
        </c:txPr>
        <c:crossAx val="16406054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Vale of White Horse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70.009140604467603</c:v>
                </c:pt>
                <c:pt idx="1">
                  <c:v>69.386468530368489</c:v>
                </c:pt>
              </c:numCache>
            </c:numRef>
          </c:val>
        </c:ser>
        <c:marker val="1"/>
        <c:axId val="164114432"/>
        <c:axId val="164115968"/>
      </c:lineChart>
      <c:catAx>
        <c:axId val="164114432"/>
        <c:scaling>
          <c:orientation val="minMax"/>
        </c:scaling>
        <c:axPos val="b"/>
        <c:numFmt formatCode="General" sourceLinked="1"/>
        <c:tickLblPos val="nextTo"/>
        <c:crossAx val="164115968"/>
        <c:crosses val="autoZero"/>
        <c:auto val="1"/>
        <c:lblAlgn val="ctr"/>
        <c:lblOffset val="100"/>
      </c:catAx>
      <c:valAx>
        <c:axId val="1641159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1443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Vale of White Horse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c:v>
                </c:pt>
                <c:pt idx="1">
                  <c:v>0</c:v>
                </c:pt>
              </c:numCache>
            </c:numRef>
          </c:val>
        </c:ser>
        <c:axId val="164155776"/>
        <c:axId val="164157312"/>
      </c:barChart>
      <c:catAx>
        <c:axId val="164155776"/>
        <c:scaling>
          <c:orientation val="minMax"/>
        </c:scaling>
        <c:axPos val="b"/>
        <c:numFmt formatCode="General" sourceLinked="1"/>
        <c:tickLblPos val="nextTo"/>
        <c:crossAx val="164157312"/>
        <c:crosses val="autoZero"/>
        <c:auto val="1"/>
        <c:lblAlgn val="ctr"/>
        <c:lblOffset val="100"/>
      </c:catAx>
      <c:valAx>
        <c:axId val="164157312"/>
        <c:scaling>
          <c:orientation val="minMax"/>
        </c:scaling>
        <c:axPos val="l"/>
        <c:majorGridlines/>
        <c:numFmt formatCode="General" sourceLinked="1"/>
        <c:tickLblPos val="nextTo"/>
        <c:txPr>
          <a:bodyPr/>
          <a:lstStyle/>
          <a:p>
            <a:pPr>
              <a:defRPr sz="800"/>
            </a:pPr>
            <a:endParaRPr lang="en-US"/>
          </a:p>
        </c:txPr>
        <c:crossAx val="164155776"/>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Vale of White Horse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37.043430438509937</c:v>
                </c:pt>
                <c:pt idx="1">
                  <c:v>67.012662734973901</c:v>
                </c:pt>
              </c:numCache>
            </c:numRef>
          </c:val>
        </c:ser>
        <c:marker val="1"/>
        <c:axId val="164254080"/>
        <c:axId val="164255616"/>
      </c:lineChart>
      <c:catAx>
        <c:axId val="164254080"/>
        <c:scaling>
          <c:orientation val="minMax"/>
        </c:scaling>
        <c:axPos val="b"/>
        <c:numFmt formatCode="General" sourceLinked="1"/>
        <c:tickLblPos val="nextTo"/>
        <c:crossAx val="164255616"/>
        <c:crosses val="autoZero"/>
        <c:auto val="1"/>
        <c:lblAlgn val="ctr"/>
        <c:lblOffset val="100"/>
      </c:catAx>
      <c:valAx>
        <c:axId val="1642556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5408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Vale of White Horse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0.42267764083050702</c:v>
                </c:pt>
                <c:pt idx="1">
                  <c:v>1.0478552613870101E-2</c:v>
                </c:pt>
              </c:numCache>
            </c:numRef>
          </c:val>
        </c:ser>
        <c:axId val="164303616"/>
        <c:axId val="164305152"/>
      </c:barChart>
      <c:catAx>
        <c:axId val="164303616"/>
        <c:scaling>
          <c:orientation val="minMax"/>
        </c:scaling>
        <c:axPos val="b"/>
        <c:numFmt formatCode="General" sourceLinked="1"/>
        <c:tickLblPos val="nextTo"/>
        <c:crossAx val="164305152"/>
        <c:crosses val="autoZero"/>
        <c:auto val="1"/>
        <c:lblAlgn val="ctr"/>
        <c:lblOffset val="100"/>
      </c:catAx>
      <c:valAx>
        <c:axId val="164305152"/>
        <c:scaling>
          <c:orientation val="minMax"/>
        </c:scaling>
        <c:axPos val="l"/>
        <c:majorGridlines/>
        <c:numFmt formatCode="General" sourceLinked="1"/>
        <c:tickLblPos val="nextTo"/>
        <c:txPr>
          <a:bodyPr/>
          <a:lstStyle/>
          <a:p>
            <a:pPr>
              <a:defRPr sz="800"/>
            </a:pPr>
            <a:endParaRPr lang="en-US"/>
          </a:p>
        </c:txPr>
        <c:crossAx val="16430361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Vale of White Horse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30.072796532034964</c:v>
                </c:pt>
                <c:pt idx="1">
                  <c:v>31.194610186084301</c:v>
                </c:pt>
              </c:numCache>
            </c:numRef>
          </c:val>
        </c:ser>
        <c:marker val="1"/>
        <c:axId val="164352768"/>
        <c:axId val="164354304"/>
      </c:lineChart>
      <c:catAx>
        <c:axId val="164352768"/>
        <c:scaling>
          <c:orientation val="minMax"/>
        </c:scaling>
        <c:axPos val="b"/>
        <c:numFmt formatCode="General" sourceLinked="1"/>
        <c:tickLblPos val="nextTo"/>
        <c:crossAx val="164354304"/>
        <c:crosses val="autoZero"/>
        <c:auto val="1"/>
        <c:lblAlgn val="ctr"/>
        <c:lblOffset val="100"/>
      </c:catAx>
      <c:valAx>
        <c:axId val="1643543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52768"/>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Vale of White Horse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0.83482918355529856</c:v>
                </c:pt>
                <c:pt idx="1">
                  <c:v>0.80904039530099403</c:v>
                </c:pt>
              </c:numCache>
            </c:numRef>
          </c:val>
        </c:ser>
        <c:axId val="164406400"/>
        <c:axId val="164407936"/>
      </c:barChart>
      <c:catAx>
        <c:axId val="164406400"/>
        <c:scaling>
          <c:orientation val="minMax"/>
        </c:scaling>
        <c:axPos val="b"/>
        <c:numFmt formatCode="General" sourceLinked="1"/>
        <c:tickLblPos val="nextTo"/>
        <c:crossAx val="164407936"/>
        <c:crosses val="autoZero"/>
        <c:auto val="1"/>
        <c:lblAlgn val="ctr"/>
        <c:lblOffset val="100"/>
      </c:catAx>
      <c:valAx>
        <c:axId val="164407936"/>
        <c:scaling>
          <c:orientation val="minMax"/>
        </c:scaling>
        <c:axPos val="l"/>
        <c:majorGridlines/>
        <c:numFmt formatCode="General" sourceLinked="1"/>
        <c:tickLblPos val="nextTo"/>
        <c:txPr>
          <a:bodyPr/>
          <a:lstStyle/>
          <a:p>
            <a:pPr>
              <a:defRPr sz="800"/>
            </a:pPr>
            <a:endParaRPr lang="en-US"/>
          </a:p>
        </c:txPr>
        <c:crossAx val="164406400"/>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Vale of White Horse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13.514370612138698</c:v>
                </c:pt>
                <c:pt idx="1">
                  <c:v>13.4402939239856</c:v>
                </c:pt>
                <c:pt idx="2">
                  <c:v>15.583389390572099</c:v>
                </c:pt>
              </c:numCache>
            </c:numRef>
          </c:val>
        </c:ser>
        <c:marker val="1"/>
        <c:axId val="162751232"/>
        <c:axId val="162752768"/>
      </c:lineChart>
      <c:catAx>
        <c:axId val="162751232"/>
        <c:scaling>
          <c:orientation val="minMax"/>
        </c:scaling>
        <c:axPos val="b"/>
        <c:numFmt formatCode="General" sourceLinked="1"/>
        <c:tickLblPos val="nextTo"/>
        <c:crossAx val="162752768"/>
        <c:crosses val="autoZero"/>
        <c:auto val="1"/>
        <c:lblAlgn val="ctr"/>
        <c:lblOffset val="100"/>
      </c:catAx>
      <c:valAx>
        <c:axId val="16275276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5123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Vale of White Horse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13.4302152152095</c:v>
                </c:pt>
              </c:numCache>
            </c:numRef>
          </c:val>
        </c:ser>
        <c:axId val="164512896"/>
        <c:axId val="164514432"/>
      </c:barChart>
      <c:catAx>
        <c:axId val="164512896"/>
        <c:scaling>
          <c:orientation val="minMax"/>
        </c:scaling>
        <c:axPos val="b"/>
        <c:numFmt formatCode="General" sourceLinked="1"/>
        <c:tickLblPos val="nextTo"/>
        <c:crossAx val="164514432"/>
        <c:crosses val="autoZero"/>
        <c:auto val="1"/>
        <c:lblAlgn val="ctr"/>
        <c:lblOffset val="100"/>
      </c:catAx>
      <c:valAx>
        <c:axId val="1645144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51289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Vale of White Horse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6.3343715752436998</c:v>
                </c:pt>
              </c:numCache>
            </c:numRef>
          </c:val>
        </c:ser>
        <c:axId val="164553856"/>
        <c:axId val="164555392"/>
      </c:barChart>
      <c:catAx>
        <c:axId val="164553856"/>
        <c:scaling>
          <c:orientation val="minMax"/>
        </c:scaling>
        <c:axPos val="b"/>
        <c:numFmt formatCode="General" sourceLinked="1"/>
        <c:tickLblPos val="nextTo"/>
        <c:crossAx val="164555392"/>
        <c:crosses val="autoZero"/>
        <c:auto val="1"/>
        <c:lblAlgn val="ctr"/>
        <c:lblOffset val="100"/>
      </c:catAx>
      <c:valAx>
        <c:axId val="164555392"/>
        <c:scaling>
          <c:orientation val="minMax"/>
        </c:scaling>
        <c:axPos val="l"/>
        <c:majorGridlines/>
        <c:numFmt formatCode="General" sourceLinked="1"/>
        <c:tickLblPos val="nextTo"/>
        <c:txPr>
          <a:bodyPr/>
          <a:lstStyle/>
          <a:p>
            <a:pPr>
              <a:defRPr sz="800"/>
            </a:pPr>
            <a:endParaRPr lang="en-US"/>
          </a:p>
        </c:txPr>
        <c:crossAx val="1645538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Vale of White Horse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8.8521946647070617</c:v>
                </c:pt>
              </c:numCache>
            </c:numRef>
          </c:val>
        </c:ser>
        <c:axId val="164467456"/>
        <c:axId val="164468992"/>
      </c:barChart>
      <c:catAx>
        <c:axId val="164467456"/>
        <c:scaling>
          <c:orientation val="minMax"/>
        </c:scaling>
        <c:axPos val="b"/>
        <c:numFmt formatCode="General" sourceLinked="1"/>
        <c:tickLblPos val="nextTo"/>
        <c:crossAx val="164468992"/>
        <c:crosses val="autoZero"/>
        <c:auto val="1"/>
        <c:lblAlgn val="ctr"/>
        <c:lblOffset val="100"/>
      </c:catAx>
      <c:valAx>
        <c:axId val="1644689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674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Vale of White Horse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9.9915017976966407</c:v>
                </c:pt>
              </c:numCache>
            </c:numRef>
          </c:val>
        </c:ser>
        <c:axId val="164586624"/>
        <c:axId val="164588160"/>
      </c:barChart>
      <c:catAx>
        <c:axId val="164586624"/>
        <c:scaling>
          <c:orientation val="minMax"/>
        </c:scaling>
        <c:axPos val="b"/>
        <c:numFmt formatCode="General" sourceLinked="1"/>
        <c:tickLblPos val="nextTo"/>
        <c:crossAx val="164588160"/>
        <c:crosses val="autoZero"/>
        <c:auto val="1"/>
        <c:lblAlgn val="ctr"/>
        <c:lblOffset val="100"/>
      </c:catAx>
      <c:valAx>
        <c:axId val="164588160"/>
        <c:scaling>
          <c:orientation val="minMax"/>
        </c:scaling>
        <c:axPos val="l"/>
        <c:majorGridlines/>
        <c:numFmt formatCode="General" sourceLinked="1"/>
        <c:tickLblPos val="nextTo"/>
        <c:txPr>
          <a:bodyPr/>
          <a:lstStyle/>
          <a:p>
            <a:pPr>
              <a:defRPr sz="800"/>
            </a:pPr>
            <a:endParaRPr lang="en-US"/>
          </a:p>
        </c:txPr>
        <c:crossAx val="1645866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Vale of White Horse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12.992308871209707</c:v>
                </c:pt>
                <c:pt idx="1">
                  <c:v>12.261352877168402</c:v>
                </c:pt>
                <c:pt idx="2">
                  <c:v>12.983477016109216</c:v>
                </c:pt>
              </c:numCache>
            </c:numRef>
          </c:val>
        </c:ser>
        <c:marker val="1"/>
        <c:axId val="164611200"/>
        <c:axId val="164612736"/>
      </c:lineChart>
      <c:catAx>
        <c:axId val="164611200"/>
        <c:scaling>
          <c:orientation val="minMax"/>
        </c:scaling>
        <c:axPos val="b"/>
        <c:numFmt formatCode="General" sourceLinked="1"/>
        <c:tickLblPos val="nextTo"/>
        <c:crossAx val="164612736"/>
        <c:crosses val="autoZero"/>
        <c:auto val="1"/>
        <c:lblAlgn val="ctr"/>
        <c:lblOffset val="100"/>
      </c:catAx>
      <c:valAx>
        <c:axId val="1646127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461120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Vale of White Horse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7.7575275043427885</c:v>
                </c:pt>
                <c:pt idx="1">
                  <c:v>8.2604449058853024</c:v>
                </c:pt>
                <c:pt idx="2">
                  <c:v>8.2642779999999991</c:v>
                </c:pt>
              </c:numCache>
            </c:numRef>
          </c:val>
        </c:ser>
        <c:axId val="164734464"/>
        <c:axId val="164736000"/>
      </c:barChart>
      <c:catAx>
        <c:axId val="164734464"/>
        <c:scaling>
          <c:orientation val="minMax"/>
        </c:scaling>
        <c:axPos val="b"/>
        <c:numFmt formatCode="General" sourceLinked="1"/>
        <c:tickLblPos val="nextTo"/>
        <c:crossAx val="164736000"/>
        <c:crosses val="autoZero"/>
        <c:auto val="1"/>
        <c:lblAlgn val="ctr"/>
        <c:lblOffset val="100"/>
      </c:catAx>
      <c:valAx>
        <c:axId val="164736000"/>
        <c:scaling>
          <c:orientation val="minMax"/>
        </c:scaling>
        <c:axPos val="l"/>
        <c:majorGridlines/>
        <c:numFmt formatCode="General" sourceLinked="1"/>
        <c:tickLblPos val="nextTo"/>
        <c:crossAx val="16473446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Vale of White Horse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11.233806026883199</c:v>
                </c:pt>
                <c:pt idx="1">
                  <c:v>11.2750626465503</c:v>
                </c:pt>
                <c:pt idx="2">
                  <c:v>10.424256360927204</c:v>
                </c:pt>
              </c:numCache>
            </c:numRef>
          </c:val>
        </c:ser>
        <c:marker val="1"/>
        <c:axId val="164783616"/>
        <c:axId val="164785152"/>
      </c:lineChart>
      <c:catAx>
        <c:axId val="164783616"/>
        <c:scaling>
          <c:orientation val="minMax"/>
        </c:scaling>
        <c:axPos val="b"/>
        <c:numFmt formatCode="General" sourceLinked="1"/>
        <c:tickLblPos val="nextTo"/>
        <c:crossAx val="164785152"/>
        <c:crosses val="autoZero"/>
        <c:auto val="1"/>
        <c:lblAlgn val="ctr"/>
        <c:lblOffset val="100"/>
      </c:catAx>
      <c:valAx>
        <c:axId val="1647851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478361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Vale of White Horse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7.3414260898337336</c:v>
                </c:pt>
                <c:pt idx="1">
                  <c:v>8.4721885754936483</c:v>
                </c:pt>
                <c:pt idx="2">
                  <c:v>8.8047830000000005</c:v>
                </c:pt>
              </c:numCache>
            </c:numRef>
          </c:val>
        </c:ser>
        <c:axId val="164824960"/>
        <c:axId val="164826496"/>
      </c:barChart>
      <c:catAx>
        <c:axId val="164824960"/>
        <c:scaling>
          <c:orientation val="minMax"/>
        </c:scaling>
        <c:axPos val="b"/>
        <c:numFmt formatCode="General" sourceLinked="1"/>
        <c:tickLblPos val="nextTo"/>
        <c:crossAx val="164826496"/>
        <c:crosses val="autoZero"/>
        <c:auto val="1"/>
        <c:lblAlgn val="ctr"/>
        <c:lblOffset val="100"/>
      </c:catAx>
      <c:valAx>
        <c:axId val="164826496"/>
        <c:scaling>
          <c:orientation val="minMax"/>
        </c:scaling>
        <c:axPos val="l"/>
        <c:majorGridlines/>
        <c:numFmt formatCode="General" sourceLinked="1"/>
        <c:tickLblPos val="nextTo"/>
        <c:crossAx val="16482496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Vale of White Horse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8.2466420264302904</c:v>
                </c:pt>
                <c:pt idx="1">
                  <c:v>8.1540689072578321</c:v>
                </c:pt>
                <c:pt idx="2">
                  <c:v>7.9831368356782395</c:v>
                </c:pt>
              </c:numCache>
            </c:numRef>
          </c:val>
        </c:ser>
        <c:marker val="1"/>
        <c:axId val="164853632"/>
        <c:axId val="164855168"/>
      </c:lineChart>
      <c:catAx>
        <c:axId val="164853632"/>
        <c:scaling>
          <c:orientation val="minMax"/>
        </c:scaling>
        <c:axPos val="b"/>
        <c:numFmt formatCode="General" sourceLinked="1"/>
        <c:tickLblPos val="nextTo"/>
        <c:crossAx val="164855168"/>
        <c:crosses val="autoZero"/>
        <c:auto val="1"/>
        <c:lblAlgn val="ctr"/>
        <c:lblOffset val="100"/>
      </c:catAx>
      <c:valAx>
        <c:axId val="1648551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485363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Vale of White Horse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8.9231532798411806</c:v>
                </c:pt>
                <c:pt idx="1">
                  <c:v>10</c:v>
                </c:pt>
                <c:pt idx="2">
                  <c:v>10</c:v>
                </c:pt>
              </c:numCache>
            </c:numRef>
          </c:val>
        </c:ser>
        <c:axId val="164976896"/>
        <c:axId val="164990976"/>
      </c:barChart>
      <c:catAx>
        <c:axId val="164976896"/>
        <c:scaling>
          <c:orientation val="minMax"/>
        </c:scaling>
        <c:axPos val="b"/>
        <c:numFmt formatCode="General" sourceLinked="1"/>
        <c:tickLblPos val="nextTo"/>
        <c:crossAx val="164990976"/>
        <c:crosses val="autoZero"/>
        <c:auto val="1"/>
        <c:lblAlgn val="ctr"/>
        <c:lblOffset val="100"/>
      </c:catAx>
      <c:valAx>
        <c:axId val="164990976"/>
        <c:scaling>
          <c:orientation val="minMax"/>
        </c:scaling>
        <c:axPos val="l"/>
        <c:majorGridlines/>
        <c:numFmt formatCode="General" sourceLinked="1"/>
        <c:tickLblPos val="nextTo"/>
        <c:crossAx val="16497689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Vale of White Horse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11.017720624248</c:v>
                </c:pt>
                <c:pt idx="1">
                  <c:v>10.826437238972725</c:v>
                </c:pt>
                <c:pt idx="2">
                  <c:v>11.5689897177523</c:v>
                </c:pt>
              </c:numCache>
            </c:numRef>
          </c:val>
        </c:ser>
        <c:marker val="1"/>
        <c:axId val="162792576"/>
        <c:axId val="162794112"/>
      </c:lineChart>
      <c:catAx>
        <c:axId val="162792576"/>
        <c:scaling>
          <c:orientation val="minMax"/>
        </c:scaling>
        <c:axPos val="b"/>
        <c:numFmt formatCode="General" sourceLinked="1"/>
        <c:tickLblPos val="nextTo"/>
        <c:crossAx val="162794112"/>
        <c:crosses val="autoZero"/>
        <c:auto val="1"/>
        <c:lblAlgn val="ctr"/>
        <c:lblOffset val="100"/>
      </c:catAx>
      <c:valAx>
        <c:axId val="16279411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9257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Vale of White Horse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20.493445433309589</c:v>
                </c:pt>
                <c:pt idx="1">
                  <c:v>19.931475662617814</c:v>
                </c:pt>
                <c:pt idx="2">
                  <c:v>22.204472249672289</c:v>
                </c:pt>
              </c:numCache>
            </c:numRef>
          </c:val>
        </c:ser>
        <c:marker val="1"/>
        <c:axId val="164890880"/>
        <c:axId val="164900864"/>
      </c:lineChart>
      <c:catAx>
        <c:axId val="164890880"/>
        <c:scaling>
          <c:orientation val="minMax"/>
        </c:scaling>
        <c:axPos val="b"/>
        <c:numFmt formatCode="General" sourceLinked="1"/>
        <c:tickLblPos val="nextTo"/>
        <c:crossAx val="164900864"/>
        <c:crosses val="autoZero"/>
        <c:auto val="1"/>
        <c:lblAlgn val="ctr"/>
        <c:lblOffset val="100"/>
      </c:catAx>
      <c:valAx>
        <c:axId val="1649008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890880"/>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Vale of White Horse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1.1675903714120299</c:v>
                </c:pt>
                <c:pt idx="1">
                  <c:v>1.2098979062121498</c:v>
                </c:pt>
                <c:pt idx="2">
                  <c:v>1.6080510000000001</c:v>
                </c:pt>
              </c:numCache>
            </c:numRef>
          </c:val>
        </c:ser>
        <c:axId val="164940416"/>
        <c:axId val="164950400"/>
      </c:barChart>
      <c:catAx>
        <c:axId val="164940416"/>
        <c:scaling>
          <c:orientation val="minMax"/>
        </c:scaling>
        <c:axPos val="b"/>
        <c:numFmt formatCode="General" sourceLinked="1"/>
        <c:tickLblPos val="nextTo"/>
        <c:crossAx val="164950400"/>
        <c:crosses val="autoZero"/>
        <c:auto val="1"/>
        <c:lblAlgn val="ctr"/>
        <c:lblOffset val="100"/>
      </c:catAx>
      <c:valAx>
        <c:axId val="164950400"/>
        <c:scaling>
          <c:orientation val="minMax"/>
        </c:scaling>
        <c:axPos val="l"/>
        <c:majorGridlines/>
        <c:numFmt formatCode="General" sourceLinked="1"/>
        <c:tickLblPos val="nextTo"/>
        <c:txPr>
          <a:bodyPr/>
          <a:lstStyle/>
          <a:p>
            <a:pPr>
              <a:defRPr sz="800"/>
            </a:pPr>
            <a:endParaRPr lang="en-US"/>
          </a:p>
        </c:txPr>
        <c:crossAx val="16494041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Vale of White Horse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18.473477023114388</c:v>
                </c:pt>
                <c:pt idx="1">
                  <c:v>18.548567379581982</c:v>
                </c:pt>
                <c:pt idx="2">
                  <c:v>18.6500159685677</c:v>
                </c:pt>
              </c:numCache>
            </c:numRef>
          </c:val>
        </c:ser>
        <c:marker val="1"/>
        <c:axId val="165042816"/>
        <c:axId val="165056896"/>
      </c:lineChart>
      <c:catAx>
        <c:axId val="165042816"/>
        <c:scaling>
          <c:orientation val="minMax"/>
        </c:scaling>
        <c:axPos val="b"/>
        <c:numFmt formatCode="General" sourceLinked="1"/>
        <c:tickLblPos val="nextTo"/>
        <c:crossAx val="165056896"/>
        <c:crosses val="autoZero"/>
        <c:auto val="1"/>
        <c:lblAlgn val="ctr"/>
        <c:lblOffset val="100"/>
      </c:catAx>
      <c:valAx>
        <c:axId val="1650568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04281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Vale of White Horse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1.3367317395979799</c:v>
                </c:pt>
                <c:pt idx="1">
                  <c:v>1.3486954682663301</c:v>
                </c:pt>
                <c:pt idx="2">
                  <c:v>1.332465</c:v>
                </c:pt>
              </c:numCache>
            </c:numRef>
          </c:val>
        </c:ser>
        <c:axId val="165084160"/>
        <c:axId val="165094144"/>
      </c:barChart>
      <c:catAx>
        <c:axId val="165084160"/>
        <c:scaling>
          <c:orientation val="minMax"/>
        </c:scaling>
        <c:axPos val="b"/>
        <c:numFmt formatCode="General" sourceLinked="1"/>
        <c:tickLblPos val="nextTo"/>
        <c:crossAx val="165094144"/>
        <c:crosses val="autoZero"/>
        <c:auto val="1"/>
        <c:lblAlgn val="ctr"/>
        <c:lblOffset val="100"/>
      </c:catAx>
      <c:valAx>
        <c:axId val="165094144"/>
        <c:scaling>
          <c:orientation val="minMax"/>
        </c:scaling>
        <c:axPos val="l"/>
        <c:majorGridlines/>
        <c:numFmt formatCode="General" sourceLinked="1"/>
        <c:tickLblPos val="nextTo"/>
        <c:txPr>
          <a:bodyPr/>
          <a:lstStyle/>
          <a:p>
            <a:pPr>
              <a:defRPr sz="800"/>
            </a:pPr>
            <a:endParaRPr lang="en-US"/>
          </a:p>
        </c:txPr>
        <c:crossAx val="16508416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Vale of White Horse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11.695825178331701</c:v>
                </c:pt>
                <c:pt idx="1">
                  <c:v>11.5451043787707</c:v>
                </c:pt>
                <c:pt idx="2">
                  <c:v>12.005270353557</c:v>
                </c:pt>
              </c:numCache>
            </c:numRef>
          </c:val>
        </c:ser>
        <c:marker val="1"/>
        <c:axId val="165121024"/>
        <c:axId val="165139200"/>
      </c:lineChart>
      <c:catAx>
        <c:axId val="165121024"/>
        <c:scaling>
          <c:orientation val="minMax"/>
        </c:scaling>
        <c:axPos val="b"/>
        <c:numFmt formatCode="General" sourceLinked="1"/>
        <c:tickLblPos val="nextTo"/>
        <c:crossAx val="165139200"/>
        <c:crosses val="autoZero"/>
        <c:auto val="1"/>
        <c:lblAlgn val="ctr"/>
        <c:lblOffset val="100"/>
      </c:catAx>
      <c:valAx>
        <c:axId val="1651392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2102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Vale of White Horse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7.6693068078418385</c:v>
                </c:pt>
                <c:pt idx="1">
                  <c:v>7.2573686335582899</c:v>
                </c:pt>
                <c:pt idx="2">
                  <c:v>7.0267539999999995</c:v>
                </c:pt>
              </c:numCache>
            </c:numRef>
          </c:val>
        </c:ser>
        <c:axId val="165174656"/>
        <c:axId val="165180544"/>
      </c:barChart>
      <c:catAx>
        <c:axId val="165174656"/>
        <c:scaling>
          <c:orientation val="minMax"/>
        </c:scaling>
        <c:axPos val="b"/>
        <c:numFmt formatCode="General" sourceLinked="1"/>
        <c:tickLblPos val="nextTo"/>
        <c:crossAx val="165180544"/>
        <c:crosses val="autoZero"/>
        <c:auto val="1"/>
        <c:lblAlgn val="ctr"/>
        <c:lblOffset val="100"/>
      </c:catAx>
      <c:valAx>
        <c:axId val="165180544"/>
        <c:scaling>
          <c:orientation val="minMax"/>
        </c:scaling>
        <c:axPos val="l"/>
        <c:majorGridlines/>
        <c:numFmt formatCode="General" sourceLinked="1"/>
        <c:tickLblPos val="nextTo"/>
        <c:txPr>
          <a:bodyPr/>
          <a:lstStyle/>
          <a:p>
            <a:pPr>
              <a:defRPr sz="800"/>
            </a:pPr>
            <a:endParaRPr lang="en-US"/>
          </a:p>
        </c:txPr>
        <c:crossAx val="16517465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Oxfordshire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4423</c:v>
                </c:pt>
                <c:pt idx="1">
                  <c:v>4460</c:v>
                </c:pt>
                <c:pt idx="2">
                  <c:v>4593</c:v>
                </c:pt>
                <c:pt idx="3">
                  <c:v>4730</c:v>
                </c:pt>
                <c:pt idx="4">
                  <c:v>4827</c:v>
                </c:pt>
              </c:numCache>
            </c:numRef>
          </c:val>
        </c:ser>
        <c:marker val="1"/>
        <c:axId val="165217408"/>
        <c:axId val="165218944"/>
      </c:lineChart>
      <c:catAx>
        <c:axId val="165217408"/>
        <c:scaling>
          <c:orientation val="minMax"/>
        </c:scaling>
        <c:axPos val="b"/>
        <c:numFmt formatCode="General" sourceLinked="1"/>
        <c:tickLblPos val="nextTo"/>
        <c:crossAx val="165218944"/>
        <c:crosses val="autoZero"/>
        <c:auto val="1"/>
        <c:lblAlgn val="ctr"/>
        <c:lblOffset val="100"/>
      </c:catAx>
      <c:valAx>
        <c:axId val="16521894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1740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Oxfordshire</c:v>
                </c:pt>
              </c:strCache>
            </c:strRef>
          </c:tx>
          <c:spPr>
            <a:solidFill>
              <a:schemeClr val="tx1"/>
            </a:solidFill>
          </c:spPr>
          <c:val>
            <c:numRef>
              <c:f>Sheet1!$R$180:$V$180</c:f>
              <c:numCache>
                <c:formatCode>General</c:formatCode>
                <c:ptCount val="5"/>
                <c:pt idx="0">
                  <c:v>6701.4237684637665</c:v>
                </c:pt>
                <c:pt idx="1">
                  <c:v>6716.8877014689824</c:v>
                </c:pt>
                <c:pt idx="2">
                  <c:v>6861.6041483349445</c:v>
                </c:pt>
                <c:pt idx="3">
                  <c:v>7022.0757434047418</c:v>
                </c:pt>
                <c:pt idx="4">
                  <c:v>7114.3903172366599</c:v>
                </c:pt>
              </c:numCache>
            </c:numRef>
          </c:val>
        </c:ser>
        <c:axId val="165246848"/>
        <c:axId val="16524838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5246848"/>
        <c:axId val="165248384"/>
      </c:lineChart>
      <c:catAx>
        <c:axId val="165246848"/>
        <c:scaling>
          <c:orientation val="minMax"/>
        </c:scaling>
        <c:axPos val="b"/>
        <c:tickLblPos val="nextTo"/>
        <c:crossAx val="165248384"/>
        <c:crosses val="autoZero"/>
        <c:auto val="1"/>
        <c:lblAlgn val="ctr"/>
        <c:lblOffset val="100"/>
      </c:catAx>
      <c:valAx>
        <c:axId val="16524838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468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Oxfordshire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3543</c:v>
                </c:pt>
                <c:pt idx="1">
                  <c:v>3555</c:v>
                </c:pt>
                <c:pt idx="2">
                  <c:v>3646</c:v>
                </c:pt>
                <c:pt idx="3">
                  <c:v>3728</c:v>
                </c:pt>
                <c:pt idx="4">
                  <c:v>3792</c:v>
                </c:pt>
              </c:numCache>
            </c:numRef>
          </c:val>
        </c:ser>
        <c:marker val="1"/>
        <c:axId val="165289984"/>
        <c:axId val="165291520"/>
      </c:lineChart>
      <c:catAx>
        <c:axId val="165289984"/>
        <c:scaling>
          <c:orientation val="minMax"/>
        </c:scaling>
        <c:axPos val="b"/>
        <c:numFmt formatCode="General" sourceLinked="1"/>
        <c:tickLblPos val="nextTo"/>
        <c:crossAx val="165291520"/>
        <c:crosses val="autoZero"/>
        <c:auto val="1"/>
        <c:lblAlgn val="ctr"/>
        <c:lblOffset val="100"/>
      </c:catAx>
      <c:valAx>
        <c:axId val="16529152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8998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Oxfordshire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5368.1086167006824</c:v>
                </c:pt>
                <c:pt idx="1">
                  <c:v>5353.9317889511685</c:v>
                </c:pt>
                <c:pt idx="2">
                  <c:v>5446.8558077137404</c:v>
                </c:pt>
                <c:pt idx="3">
                  <c:v>5534.5239685862334</c:v>
                </c:pt>
                <c:pt idx="4">
                  <c:v>5588.9306159025091</c:v>
                </c:pt>
              </c:numCache>
            </c:numRef>
          </c:val>
        </c:ser>
        <c:axId val="165339904"/>
        <c:axId val="16534144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5339904"/>
        <c:axId val="165341440"/>
      </c:lineChart>
      <c:catAx>
        <c:axId val="165339904"/>
        <c:scaling>
          <c:orientation val="minMax"/>
        </c:scaling>
        <c:axPos val="b"/>
        <c:numFmt formatCode="General" sourceLinked="1"/>
        <c:tickLblPos val="nextTo"/>
        <c:crossAx val="165341440"/>
        <c:crosses val="autoZero"/>
        <c:auto val="1"/>
        <c:lblAlgn val="ctr"/>
        <c:lblOffset val="100"/>
      </c:catAx>
      <c:valAx>
        <c:axId val="16534144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3399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Vale of White Horse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8.4212129700197789</c:v>
                </c:pt>
                <c:pt idx="1">
                  <c:v>8.3210741100400192</c:v>
                </c:pt>
                <c:pt idx="2">
                  <c:v>8.6260053108117187</c:v>
                </c:pt>
              </c:numCache>
            </c:numRef>
          </c:val>
        </c:ser>
        <c:marker val="1"/>
        <c:axId val="162829824"/>
        <c:axId val="162831360"/>
      </c:lineChart>
      <c:catAx>
        <c:axId val="162829824"/>
        <c:scaling>
          <c:orientation val="minMax"/>
        </c:scaling>
        <c:axPos val="b"/>
        <c:numFmt formatCode="General" sourceLinked="1"/>
        <c:tickLblPos val="nextTo"/>
        <c:crossAx val="162831360"/>
        <c:crosses val="autoZero"/>
        <c:auto val="1"/>
        <c:lblAlgn val="ctr"/>
        <c:lblOffset val="100"/>
      </c:catAx>
      <c:valAx>
        <c:axId val="16283136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2982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Oxfordshire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2774</c:v>
                </c:pt>
                <c:pt idx="1">
                  <c:v>2782</c:v>
                </c:pt>
                <c:pt idx="2">
                  <c:v>2886</c:v>
                </c:pt>
                <c:pt idx="3">
                  <c:v>2937</c:v>
                </c:pt>
                <c:pt idx="4">
                  <c:v>3006</c:v>
                </c:pt>
              </c:numCache>
            </c:numRef>
          </c:val>
        </c:ser>
        <c:marker val="1"/>
        <c:axId val="165374592"/>
        <c:axId val="165380480"/>
      </c:lineChart>
      <c:catAx>
        <c:axId val="165374592"/>
        <c:scaling>
          <c:orientation val="minMax"/>
        </c:scaling>
        <c:axPos val="b"/>
        <c:numFmt formatCode="General" sourceLinked="1"/>
        <c:tickLblPos val="nextTo"/>
        <c:crossAx val="165380480"/>
        <c:crosses val="autoZero"/>
        <c:auto val="1"/>
        <c:lblAlgn val="ctr"/>
        <c:lblOffset val="100"/>
      </c:catAx>
      <c:valAx>
        <c:axId val="16538048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37459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Oxfordshire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4202.972989762261</c:v>
                </c:pt>
                <c:pt idx="1">
                  <c:v>4189.77165593872</c:v>
                </c:pt>
                <c:pt idx="2">
                  <c:v>4311.4717117558594</c:v>
                </c:pt>
                <c:pt idx="3">
                  <c:v>4360.2191243931802</c:v>
                </c:pt>
                <c:pt idx="4">
                  <c:v>4430.4655673531015</c:v>
                </c:pt>
              </c:numCache>
            </c:numRef>
          </c:val>
        </c:ser>
        <c:axId val="165481856"/>
        <c:axId val="16550412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5481856"/>
        <c:axId val="165504128"/>
      </c:lineChart>
      <c:catAx>
        <c:axId val="165481856"/>
        <c:scaling>
          <c:orientation val="minMax"/>
        </c:scaling>
        <c:axPos val="b"/>
        <c:numFmt formatCode="General" sourceLinked="1"/>
        <c:tickLblPos val="nextTo"/>
        <c:crossAx val="165504128"/>
        <c:crosses val="autoZero"/>
        <c:auto val="1"/>
        <c:lblAlgn val="ctr"/>
        <c:lblOffset val="100"/>
      </c:catAx>
      <c:valAx>
        <c:axId val="16550412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4818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Oxfordshire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4156</c:v>
                </c:pt>
                <c:pt idx="1">
                  <c:v>4193</c:v>
                </c:pt>
                <c:pt idx="2">
                  <c:v>4313</c:v>
                </c:pt>
                <c:pt idx="3">
                  <c:v>4431</c:v>
                </c:pt>
                <c:pt idx="4">
                  <c:v>4480</c:v>
                </c:pt>
              </c:numCache>
            </c:numRef>
          </c:val>
        </c:ser>
        <c:marker val="1"/>
        <c:axId val="165531648"/>
        <c:axId val="165533184"/>
      </c:lineChart>
      <c:catAx>
        <c:axId val="165531648"/>
        <c:scaling>
          <c:orientation val="minMax"/>
        </c:scaling>
        <c:axPos val="b"/>
        <c:numFmt formatCode="General" sourceLinked="1"/>
        <c:tickLblPos val="nextTo"/>
        <c:crossAx val="165533184"/>
        <c:crosses val="autoZero"/>
        <c:auto val="1"/>
        <c:lblAlgn val="ctr"/>
        <c:lblOffset val="100"/>
      </c:catAx>
      <c:valAx>
        <c:axId val="16553318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53164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Oxfordshire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5</c:v>
                </c:pt>
                <c:pt idx="1">
                  <c:v>5</c:v>
                </c:pt>
                <c:pt idx="2">
                  <c:v>3</c:v>
                </c:pt>
                <c:pt idx="3">
                  <c:v>3</c:v>
                </c:pt>
                <c:pt idx="4">
                  <c:v>4</c:v>
                </c:pt>
              </c:numCache>
            </c:numRef>
          </c:val>
        </c:ser>
        <c:axId val="165597952"/>
        <c:axId val="16559948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5597952"/>
        <c:axId val="165599488"/>
      </c:lineChart>
      <c:catAx>
        <c:axId val="165597952"/>
        <c:scaling>
          <c:orientation val="minMax"/>
        </c:scaling>
        <c:axPos val="b"/>
        <c:tickLblPos val="nextTo"/>
        <c:crossAx val="165599488"/>
        <c:crosses val="autoZero"/>
        <c:auto val="1"/>
        <c:lblAlgn val="ctr"/>
        <c:lblOffset val="100"/>
      </c:catAx>
      <c:valAx>
        <c:axId val="16559948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5979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Oxfordshire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9</c:v>
                </c:pt>
                <c:pt idx="2">
                  <c:v>5</c:v>
                </c:pt>
                <c:pt idx="3">
                  <c:v>5</c:v>
                </c:pt>
                <c:pt idx="4">
                  <c:v>7</c:v>
                </c:pt>
              </c:numCache>
            </c:numRef>
          </c:val>
        </c:ser>
        <c:axId val="165639680"/>
        <c:axId val="165641216"/>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5639680"/>
        <c:axId val="165641216"/>
      </c:lineChart>
      <c:catAx>
        <c:axId val="165639680"/>
        <c:scaling>
          <c:orientation val="minMax"/>
        </c:scaling>
        <c:axPos val="b"/>
        <c:tickLblPos val="nextTo"/>
        <c:crossAx val="165641216"/>
        <c:crosses val="autoZero"/>
        <c:auto val="1"/>
        <c:lblAlgn val="ctr"/>
        <c:lblOffset val="100"/>
      </c:catAx>
      <c:valAx>
        <c:axId val="16564121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6396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Oxfordshire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15</c:v>
                </c:pt>
                <c:pt idx="1">
                  <c:v>18</c:v>
                </c:pt>
                <c:pt idx="2">
                  <c:v>19</c:v>
                </c:pt>
                <c:pt idx="3">
                  <c:v>18</c:v>
                </c:pt>
                <c:pt idx="4">
                  <c:v>20</c:v>
                </c:pt>
              </c:numCache>
            </c:numRef>
          </c:val>
        </c:ser>
        <c:axId val="165747712"/>
        <c:axId val="16575360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5747712"/>
        <c:axId val="165753600"/>
      </c:lineChart>
      <c:catAx>
        <c:axId val="165747712"/>
        <c:scaling>
          <c:orientation val="minMax"/>
        </c:scaling>
        <c:axPos val="b"/>
        <c:tickLblPos val="nextTo"/>
        <c:crossAx val="165753600"/>
        <c:crosses val="autoZero"/>
        <c:auto val="1"/>
        <c:lblAlgn val="ctr"/>
        <c:lblOffset val="100"/>
      </c:catAx>
      <c:valAx>
        <c:axId val="16575360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7477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Oxfordshire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32.700000000000003</c:v>
                </c:pt>
                <c:pt idx="1">
                  <c:v>32.1</c:v>
                </c:pt>
                <c:pt idx="2">
                  <c:v>32.1</c:v>
                </c:pt>
              </c:numCache>
            </c:numRef>
          </c:val>
        </c:ser>
        <c:marker val="1"/>
        <c:axId val="165805056"/>
        <c:axId val="165683968"/>
      </c:lineChart>
      <c:catAx>
        <c:axId val="165805056"/>
        <c:scaling>
          <c:orientation val="minMax"/>
        </c:scaling>
        <c:axPos val="b"/>
        <c:numFmt formatCode="General" sourceLinked="1"/>
        <c:tickLblPos val="nextTo"/>
        <c:crossAx val="165683968"/>
        <c:crosses val="autoZero"/>
        <c:auto val="1"/>
        <c:lblAlgn val="ctr"/>
        <c:lblOffset val="100"/>
      </c:catAx>
      <c:valAx>
        <c:axId val="16568396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80505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Oxfordshire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28.3</c:v>
                </c:pt>
                <c:pt idx="1">
                  <c:v>29.6</c:v>
                </c:pt>
                <c:pt idx="2">
                  <c:v>30.3</c:v>
                </c:pt>
              </c:numCache>
            </c:numRef>
          </c:val>
        </c:ser>
        <c:marker val="1"/>
        <c:axId val="165712256"/>
        <c:axId val="165713792"/>
      </c:lineChart>
      <c:catAx>
        <c:axId val="165712256"/>
        <c:scaling>
          <c:orientation val="minMax"/>
        </c:scaling>
        <c:axPos val="b"/>
        <c:numFmt formatCode="General" sourceLinked="1"/>
        <c:tickLblPos val="nextTo"/>
        <c:crossAx val="165713792"/>
        <c:crosses val="autoZero"/>
        <c:auto val="1"/>
        <c:lblAlgn val="ctr"/>
        <c:lblOffset val="100"/>
      </c:catAx>
      <c:valAx>
        <c:axId val="16571379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571225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Vale of White Horse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84.532785427565358</c:v>
                </c:pt>
                <c:pt idx="1">
                  <c:v>74.4919688639132</c:v>
                </c:pt>
                <c:pt idx="2">
                  <c:v>50.903945738382497</c:v>
                </c:pt>
                <c:pt idx="3">
                  <c:v>40.755975601285591</c:v>
                </c:pt>
              </c:numCache>
            </c:numRef>
          </c:val>
        </c:ser>
        <c:axId val="165896960"/>
        <c:axId val="165898496"/>
      </c:barChart>
      <c:catAx>
        <c:axId val="165896960"/>
        <c:scaling>
          <c:orientation val="minMax"/>
        </c:scaling>
        <c:axPos val="b"/>
        <c:tickLblPos val="nextTo"/>
        <c:txPr>
          <a:bodyPr/>
          <a:lstStyle/>
          <a:p>
            <a:pPr>
              <a:defRPr sz="800"/>
            </a:pPr>
            <a:endParaRPr lang="en-US"/>
          </a:p>
        </c:txPr>
        <c:crossAx val="165898496"/>
        <c:crosses val="autoZero"/>
        <c:auto val="1"/>
        <c:lblAlgn val="ctr"/>
        <c:lblOffset val="100"/>
      </c:catAx>
      <c:valAx>
        <c:axId val="16589849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89696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Vale of White Horse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26.090434169089182</c:v>
                </c:pt>
                <c:pt idx="1">
                  <c:v>18.902356921086337</c:v>
                </c:pt>
                <c:pt idx="2">
                  <c:v>10.893573439969373</c:v>
                </c:pt>
                <c:pt idx="3">
                  <c:v>5.7518592467332113</c:v>
                </c:pt>
              </c:numCache>
            </c:numRef>
          </c:val>
        </c:ser>
        <c:axId val="165934208"/>
        <c:axId val="165935744"/>
      </c:barChart>
      <c:catAx>
        <c:axId val="165934208"/>
        <c:scaling>
          <c:orientation val="minMax"/>
        </c:scaling>
        <c:axPos val="b"/>
        <c:numFmt formatCode="General" sourceLinked="1"/>
        <c:tickLblPos val="nextTo"/>
        <c:txPr>
          <a:bodyPr/>
          <a:lstStyle/>
          <a:p>
            <a:pPr>
              <a:defRPr sz="800"/>
            </a:pPr>
            <a:endParaRPr lang="en-US"/>
          </a:p>
        </c:txPr>
        <c:crossAx val="165935744"/>
        <c:crosses val="autoZero"/>
        <c:auto val="1"/>
        <c:lblAlgn val="ctr"/>
        <c:lblOffset val="100"/>
      </c:catAx>
      <c:valAx>
        <c:axId val="16593574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93420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Vale of White Horse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37.387231385697817</c:v>
                </c:pt>
                <c:pt idx="1">
                  <c:v>48.075998824450899</c:v>
                </c:pt>
                <c:pt idx="2">
                  <c:v>48.082670213335497</c:v>
                </c:pt>
              </c:numCache>
            </c:numRef>
          </c:val>
        </c:ser>
        <c:marker val="1"/>
        <c:axId val="162940800"/>
        <c:axId val="162942336"/>
      </c:lineChart>
      <c:catAx>
        <c:axId val="162940800"/>
        <c:scaling>
          <c:orientation val="minMax"/>
        </c:scaling>
        <c:axPos val="b"/>
        <c:numFmt formatCode="General" sourceLinked="1"/>
        <c:tickLblPos val="nextTo"/>
        <c:crossAx val="162942336"/>
        <c:crosses val="autoZero"/>
        <c:auto val="1"/>
        <c:lblAlgn val="ctr"/>
        <c:lblOffset val="100"/>
      </c:catAx>
      <c:valAx>
        <c:axId val="16294233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4080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Vale of White Horse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20.952504070579568</c:v>
                </c:pt>
                <c:pt idx="1">
                  <c:v>13.354604294724041</c:v>
                </c:pt>
                <c:pt idx="2">
                  <c:v>3.7697508697489384</c:v>
                </c:pt>
                <c:pt idx="3">
                  <c:v>1.2489833303332389</c:v>
                </c:pt>
              </c:numCache>
            </c:numRef>
          </c:val>
        </c:ser>
        <c:axId val="165848576"/>
        <c:axId val="165850112"/>
      </c:barChart>
      <c:catAx>
        <c:axId val="165848576"/>
        <c:scaling>
          <c:orientation val="minMax"/>
        </c:scaling>
        <c:axPos val="b"/>
        <c:numFmt formatCode="General" sourceLinked="1"/>
        <c:tickLblPos val="nextTo"/>
        <c:txPr>
          <a:bodyPr/>
          <a:lstStyle/>
          <a:p>
            <a:pPr>
              <a:defRPr sz="800"/>
            </a:pPr>
            <a:endParaRPr lang="en-US"/>
          </a:p>
        </c:txPr>
        <c:crossAx val="165850112"/>
        <c:crosses val="autoZero"/>
        <c:auto val="1"/>
        <c:lblAlgn val="ctr"/>
        <c:lblOffset val="100"/>
      </c:catAx>
      <c:valAx>
        <c:axId val="16585011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84857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Vale of White Horse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15.084307162140442</c:v>
                </c:pt>
                <c:pt idx="1">
                  <c:v>11.626007343867789</c:v>
                </c:pt>
                <c:pt idx="2">
                  <c:v>5.8124684550414418</c:v>
                </c:pt>
                <c:pt idx="3">
                  <c:v>3.3568997437755743</c:v>
                </c:pt>
              </c:numCache>
            </c:numRef>
          </c:val>
        </c:ser>
        <c:axId val="165963648"/>
        <c:axId val="165965184"/>
      </c:barChart>
      <c:catAx>
        <c:axId val="165963648"/>
        <c:scaling>
          <c:orientation val="minMax"/>
        </c:scaling>
        <c:axPos val="b"/>
        <c:numFmt formatCode="General" sourceLinked="1"/>
        <c:tickLblPos val="nextTo"/>
        <c:txPr>
          <a:bodyPr/>
          <a:lstStyle/>
          <a:p>
            <a:pPr>
              <a:defRPr sz="800"/>
            </a:pPr>
            <a:endParaRPr lang="en-US"/>
          </a:p>
        </c:txPr>
        <c:crossAx val="165965184"/>
        <c:crosses val="autoZero"/>
        <c:auto val="1"/>
        <c:lblAlgn val="ctr"/>
        <c:lblOffset val="100"/>
      </c:catAx>
      <c:valAx>
        <c:axId val="16596518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96364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Vale of White Horse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82.842912526337358</c:v>
                </c:pt>
                <c:pt idx="1">
                  <c:v>71.158085980997043</c:v>
                </c:pt>
                <c:pt idx="2">
                  <c:v>46.146108009867575</c:v>
                </c:pt>
                <c:pt idx="3">
                  <c:v>33.503061184972537</c:v>
                </c:pt>
              </c:numCache>
            </c:numRef>
          </c:val>
        </c:ser>
        <c:axId val="166074624"/>
        <c:axId val="166080512"/>
      </c:barChart>
      <c:catAx>
        <c:axId val="166074624"/>
        <c:scaling>
          <c:orientation val="minMax"/>
        </c:scaling>
        <c:axPos val="b"/>
        <c:numFmt formatCode="General" sourceLinked="1"/>
        <c:tickLblPos val="nextTo"/>
        <c:txPr>
          <a:bodyPr/>
          <a:lstStyle/>
          <a:p>
            <a:pPr>
              <a:defRPr sz="800"/>
            </a:pPr>
            <a:endParaRPr lang="en-US"/>
          </a:p>
        </c:txPr>
        <c:crossAx val="166080512"/>
        <c:crosses val="autoZero"/>
        <c:auto val="1"/>
        <c:lblAlgn val="ctr"/>
        <c:lblOffset val="100"/>
      </c:catAx>
      <c:valAx>
        <c:axId val="16608051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07462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Vale of White Horse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67.314717388598922</c:v>
                </c:pt>
                <c:pt idx="1">
                  <c:v>50.662464295402309</c:v>
                </c:pt>
                <c:pt idx="2">
                  <c:v>26.959431577753456</c:v>
                </c:pt>
                <c:pt idx="3">
                  <c:v>17.870193623377677</c:v>
                </c:pt>
              </c:numCache>
            </c:numRef>
          </c:val>
        </c:ser>
        <c:axId val="166115968"/>
        <c:axId val="166007168"/>
      </c:barChart>
      <c:catAx>
        <c:axId val="166115968"/>
        <c:scaling>
          <c:orientation val="minMax"/>
        </c:scaling>
        <c:axPos val="b"/>
        <c:numFmt formatCode="General" sourceLinked="1"/>
        <c:tickLblPos val="nextTo"/>
        <c:txPr>
          <a:bodyPr/>
          <a:lstStyle/>
          <a:p>
            <a:pPr>
              <a:defRPr sz="800"/>
            </a:pPr>
            <a:endParaRPr lang="en-US"/>
          </a:p>
        </c:txPr>
        <c:crossAx val="166007168"/>
        <c:crosses val="autoZero"/>
        <c:auto val="1"/>
        <c:lblAlgn val="ctr"/>
        <c:lblOffset val="100"/>
      </c:catAx>
      <c:valAx>
        <c:axId val="16600716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11596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Vale of White Horse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51.393214861180667</c:v>
                </c:pt>
                <c:pt idx="1">
                  <c:v>40.049638947995746</c:v>
                </c:pt>
                <c:pt idx="2">
                  <c:v>20.101469761786102</c:v>
                </c:pt>
                <c:pt idx="3">
                  <c:v>15.441571986207011</c:v>
                </c:pt>
              </c:numCache>
            </c:numRef>
          </c:val>
        </c:ser>
        <c:axId val="166067200"/>
        <c:axId val="166134528"/>
      </c:barChart>
      <c:catAx>
        <c:axId val="166067200"/>
        <c:scaling>
          <c:orientation val="minMax"/>
        </c:scaling>
        <c:axPos val="b"/>
        <c:numFmt formatCode="General" sourceLinked="1"/>
        <c:tickLblPos val="nextTo"/>
        <c:txPr>
          <a:bodyPr/>
          <a:lstStyle/>
          <a:p>
            <a:pPr>
              <a:defRPr sz="800"/>
            </a:pPr>
            <a:endParaRPr lang="en-US"/>
          </a:p>
        </c:txPr>
        <c:crossAx val="166134528"/>
        <c:crosses val="autoZero"/>
        <c:auto val="1"/>
        <c:lblAlgn val="ctr"/>
        <c:lblOffset val="100"/>
      </c:catAx>
      <c:valAx>
        <c:axId val="1661345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06720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Vale of White Horse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31.710533701049702</c:v>
                </c:pt>
                <c:pt idx="1">
                  <c:v>41.328396441477011</c:v>
                </c:pt>
                <c:pt idx="2">
                  <c:v>41.235557524409167</c:v>
                </c:pt>
              </c:numCache>
            </c:numRef>
          </c:val>
        </c:ser>
        <c:marker val="1"/>
        <c:axId val="162871552"/>
        <c:axId val="162877440"/>
      </c:lineChart>
      <c:catAx>
        <c:axId val="162871552"/>
        <c:scaling>
          <c:orientation val="minMax"/>
        </c:scaling>
        <c:axPos val="b"/>
        <c:numFmt formatCode="General" sourceLinked="1"/>
        <c:tickLblPos val="nextTo"/>
        <c:crossAx val="162877440"/>
        <c:crosses val="autoZero"/>
        <c:auto val="1"/>
        <c:lblAlgn val="ctr"/>
        <c:lblOffset val="100"/>
      </c:catAx>
      <c:valAx>
        <c:axId val="16287744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7155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Vale of White Horse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16.253812254338989</c:v>
                </c:pt>
                <c:pt idx="1">
                  <c:v>20.415969536885189</c:v>
                </c:pt>
                <c:pt idx="2">
                  <c:v>21.388883985372686</c:v>
                </c:pt>
              </c:numCache>
            </c:numRef>
          </c:val>
        </c:ser>
        <c:marker val="1"/>
        <c:axId val="162908800"/>
        <c:axId val="162988416"/>
      </c:lineChart>
      <c:catAx>
        <c:axId val="162908800"/>
        <c:scaling>
          <c:orientation val="minMax"/>
        </c:scaling>
        <c:axPos val="b"/>
        <c:numFmt formatCode="General" sourceLinked="1"/>
        <c:tickLblPos val="nextTo"/>
        <c:crossAx val="162988416"/>
        <c:crosses val="autoZero"/>
        <c:auto val="1"/>
        <c:lblAlgn val="ctr"/>
        <c:lblOffset val="100"/>
      </c:catAx>
      <c:valAx>
        <c:axId val="16298841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08800"/>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9E5F3-1C49-4E0F-9023-9540D785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2018-06-28T10:47:00Z</dcterms:created>
  <dcterms:modified xsi:type="dcterms:W3CDTF">2018-07-16T11:00:00Z</dcterms:modified>
</cp:coreProperties>
</file>