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A3788" w14:textId="77777777" w:rsidR="00F01012" w:rsidRPr="00876C25" w:rsidRDefault="00F01012" w:rsidP="00DB4441">
      <w:pPr>
        <w:pStyle w:val="Bodycopynoindent"/>
        <w:tabs>
          <w:tab w:val="right" w:pos="8789"/>
        </w:tabs>
        <w:spacing w:after="0"/>
        <w:jc w:val="both"/>
        <w:rPr>
          <w:rFonts w:ascii="Arial" w:hAnsi="Arial" w:cs="Arial"/>
          <w:b/>
          <w:color w:val="009900"/>
          <w:sz w:val="44"/>
          <w:szCs w:val="44"/>
        </w:rPr>
      </w:pPr>
      <w:r w:rsidRPr="00876C25">
        <w:rPr>
          <w:rFonts w:ascii="Arial" w:hAnsi="Arial" w:cs="Arial"/>
          <w:b/>
          <w:color w:val="009900"/>
          <w:sz w:val="44"/>
          <w:szCs w:val="44"/>
        </w:rPr>
        <w:t>DRAFT RESPONSE</w:t>
      </w:r>
      <w:r w:rsidR="00E0766D" w:rsidRPr="00876C25">
        <w:rPr>
          <w:rFonts w:ascii="Arial" w:hAnsi="Arial" w:cs="Arial"/>
          <w:b/>
          <w:color w:val="009900"/>
          <w:sz w:val="44"/>
          <w:szCs w:val="44"/>
        </w:rPr>
        <w:t xml:space="preserve"> </w:t>
      </w:r>
      <w:r w:rsidR="0021305C" w:rsidRPr="00876C25">
        <w:rPr>
          <w:rFonts w:ascii="Arial" w:hAnsi="Arial" w:cs="Arial"/>
          <w:b/>
          <w:color w:val="009900"/>
          <w:sz w:val="44"/>
          <w:szCs w:val="44"/>
        </w:rPr>
        <w:t>SERVICE</w:t>
      </w:r>
    </w:p>
    <w:p w14:paraId="6C112E73" w14:textId="77777777" w:rsidR="00F01012" w:rsidRPr="00876C25" w:rsidRDefault="00F01012" w:rsidP="00017124">
      <w:pPr>
        <w:pStyle w:val="Bodycopynoindent"/>
        <w:tabs>
          <w:tab w:val="right" w:pos="8789"/>
        </w:tabs>
        <w:spacing w:after="0"/>
        <w:jc w:val="both"/>
        <w:rPr>
          <w:rFonts w:ascii="Arial" w:hAnsi="Arial" w:cs="Arial"/>
          <w:color w:val="99CC00"/>
        </w:rPr>
      </w:pPr>
      <w:r w:rsidRPr="00876C25">
        <w:rPr>
          <w:rFonts w:ascii="Arial" w:hAnsi="Arial" w:cs="Arial"/>
          <w:color w:val="99CC00"/>
        </w:rPr>
        <w:t xml:space="preserve">As part of the Rural Opportunities Bulletin, RSN will regularly provide </w:t>
      </w:r>
      <w:r w:rsidR="00E56A94" w:rsidRPr="00876C25">
        <w:rPr>
          <w:rFonts w:ascii="Arial" w:hAnsi="Arial" w:cs="Arial"/>
          <w:color w:val="99CC00"/>
        </w:rPr>
        <w:t xml:space="preserve">concise </w:t>
      </w:r>
      <w:r w:rsidRPr="00876C25">
        <w:rPr>
          <w:rFonts w:ascii="Arial" w:hAnsi="Arial" w:cs="Arial"/>
          <w:color w:val="99CC00"/>
        </w:rPr>
        <w:t>potential responses to key current consultations.  These are not intended to be definitive</w:t>
      </w:r>
      <w:r w:rsidR="00385C9A" w:rsidRPr="00876C25">
        <w:rPr>
          <w:rFonts w:ascii="Arial" w:hAnsi="Arial" w:cs="Arial"/>
          <w:color w:val="99CC00"/>
        </w:rPr>
        <w:t xml:space="preserve"> or to reflect the views of RSN</w:t>
      </w:r>
      <w:r w:rsidRPr="00876C25">
        <w:rPr>
          <w:rFonts w:ascii="Arial" w:hAnsi="Arial" w:cs="Arial"/>
          <w:color w:val="99CC00"/>
        </w:rPr>
        <w:t xml:space="preserve"> and may include potentially opposing respon</w:t>
      </w:r>
      <w:r w:rsidR="00385C9A" w:rsidRPr="00876C25">
        <w:rPr>
          <w:rFonts w:ascii="Arial" w:hAnsi="Arial" w:cs="Arial"/>
          <w:color w:val="99CC00"/>
        </w:rPr>
        <w:t>ses</w:t>
      </w:r>
      <w:r w:rsidR="00E56A94" w:rsidRPr="00876C25">
        <w:rPr>
          <w:rFonts w:ascii="Arial" w:hAnsi="Arial" w:cs="Arial"/>
          <w:color w:val="99CC00"/>
        </w:rPr>
        <w:t xml:space="preserve"> to reflect different views designed to assist individual organisations in compiling their own response.</w:t>
      </w:r>
      <w:r w:rsidR="0021305C" w:rsidRPr="00876C25">
        <w:rPr>
          <w:rFonts w:ascii="Arial" w:hAnsi="Arial" w:cs="Arial"/>
          <w:color w:val="99CC00"/>
        </w:rPr>
        <w:t xml:space="preserve">  We do however recognise the pressure members are under and we hope this service will assist.</w:t>
      </w:r>
    </w:p>
    <w:p w14:paraId="6A2FEE02" w14:textId="77777777" w:rsidR="00EE57F7" w:rsidRDefault="00EE57F7" w:rsidP="00017124">
      <w:pPr>
        <w:pStyle w:val="NormalWeb"/>
        <w:spacing w:before="0" w:beforeAutospacing="0" w:after="0" w:afterAutospacing="0"/>
        <w:jc w:val="both"/>
        <w:rPr>
          <w:rFonts w:ascii="Arial" w:hAnsi="Arial" w:cs="Arial"/>
        </w:rPr>
      </w:pPr>
    </w:p>
    <w:p w14:paraId="4BCAA2DC" w14:textId="77777777" w:rsidR="00715C07" w:rsidRPr="00AC14AD" w:rsidRDefault="00715C07" w:rsidP="00017124">
      <w:pPr>
        <w:pStyle w:val="NormalWeb"/>
        <w:spacing w:before="0" w:beforeAutospacing="0" w:after="0" w:afterAutospacing="0"/>
        <w:jc w:val="both"/>
        <w:rPr>
          <w:rFonts w:ascii="Arial" w:hAnsi="Arial" w:cs="Arial"/>
        </w:rPr>
      </w:pPr>
      <w:bookmarkStart w:id="0" w:name="_GoBack"/>
      <w:bookmarkEnd w:id="0"/>
    </w:p>
    <w:p w14:paraId="37D6AD7C" w14:textId="77777777" w:rsidR="00CC398C" w:rsidRPr="00CC398C" w:rsidRDefault="00CC398C" w:rsidP="00017124">
      <w:pPr>
        <w:pStyle w:val="NormalWeb"/>
        <w:spacing w:before="0" w:beforeAutospacing="0" w:after="0" w:afterAutospacing="0"/>
        <w:jc w:val="both"/>
        <w:rPr>
          <w:rFonts w:ascii="Arial" w:hAnsi="Arial" w:cs="Arial"/>
          <w:b/>
          <w:bCs/>
          <w:sz w:val="28"/>
          <w:szCs w:val="28"/>
        </w:rPr>
      </w:pPr>
      <w:r w:rsidRPr="00CC398C">
        <w:rPr>
          <w:rFonts w:ascii="Arial" w:hAnsi="Arial" w:cs="Arial"/>
          <w:b/>
          <w:bCs/>
          <w:sz w:val="28"/>
          <w:szCs w:val="28"/>
        </w:rPr>
        <w:t>Developer contributions reform: technical consultation – Ministry of Housing, Communities &amp; Local Government</w:t>
      </w:r>
    </w:p>
    <w:p w14:paraId="41CA468A" w14:textId="77777777" w:rsidR="00CC398C" w:rsidRDefault="00CC398C" w:rsidP="00017124">
      <w:pPr>
        <w:spacing w:after="0"/>
        <w:jc w:val="both"/>
        <w:rPr>
          <w:rFonts w:ascii="Arial" w:hAnsi="Arial" w:cs="Arial"/>
          <w:color w:val="0B0C0C"/>
          <w:sz w:val="24"/>
          <w:szCs w:val="24"/>
        </w:rPr>
      </w:pPr>
    </w:p>
    <w:p w14:paraId="0800E378" w14:textId="77777777" w:rsidR="00CC398C" w:rsidRDefault="00CC398C" w:rsidP="00017124">
      <w:pPr>
        <w:spacing w:after="0"/>
        <w:jc w:val="both"/>
        <w:rPr>
          <w:rFonts w:ascii="Arial" w:hAnsi="Arial" w:cs="Arial"/>
          <w:color w:val="0B0C0C"/>
          <w:sz w:val="24"/>
          <w:szCs w:val="24"/>
        </w:rPr>
      </w:pPr>
      <w:r w:rsidRPr="00CC398C">
        <w:rPr>
          <w:rFonts w:ascii="Arial" w:hAnsi="Arial" w:cs="Arial"/>
          <w:color w:val="0B0C0C"/>
          <w:sz w:val="24"/>
          <w:szCs w:val="24"/>
        </w:rPr>
        <w:t xml:space="preserve">This consultation on Community Infrastructure Levy draft regulations focuses on technical implementation of the reforms outlined in the government response to supporting housing delivery through developer contributions. </w:t>
      </w:r>
      <w:r w:rsidRPr="00CC398C">
        <w:rPr>
          <w:rFonts w:ascii="Arial" w:hAnsi="Arial" w:cs="Arial"/>
          <w:sz w:val="24"/>
          <w:szCs w:val="24"/>
        </w:rPr>
        <w:t>The</w:t>
      </w:r>
      <w:r w:rsidRPr="00CC398C">
        <w:rPr>
          <w:rFonts w:ascii="Arial" w:hAnsi="Arial" w:cs="Arial"/>
          <w:color w:val="0B0C0C"/>
          <w:sz w:val="24"/>
          <w:szCs w:val="24"/>
        </w:rPr>
        <w:t xml:space="preserve"> reforms seek to improve the operation of the Community Infrastructure Levy by reducing complexity and increasing market responsiveness and transparency.</w:t>
      </w:r>
    </w:p>
    <w:p w14:paraId="25232313" w14:textId="77777777" w:rsidR="00CC398C" w:rsidRPr="00CC398C" w:rsidRDefault="00CC398C" w:rsidP="00017124">
      <w:pPr>
        <w:spacing w:after="0"/>
        <w:jc w:val="both"/>
        <w:rPr>
          <w:rFonts w:ascii="Arial" w:hAnsi="Arial" w:cs="Arial"/>
          <w:color w:val="0B0C0C"/>
          <w:sz w:val="24"/>
          <w:szCs w:val="24"/>
        </w:rPr>
      </w:pPr>
    </w:p>
    <w:p w14:paraId="50055762" w14:textId="77777777" w:rsidR="00CC398C" w:rsidRDefault="00CC398C" w:rsidP="00017124">
      <w:pPr>
        <w:spacing w:after="0"/>
        <w:jc w:val="both"/>
        <w:rPr>
          <w:rFonts w:ascii="Arial" w:hAnsi="Arial" w:cs="Arial"/>
          <w:bCs/>
          <w:sz w:val="24"/>
          <w:szCs w:val="24"/>
        </w:rPr>
      </w:pPr>
      <w:r w:rsidRPr="00CC398C">
        <w:rPr>
          <w:rFonts w:ascii="Arial" w:hAnsi="Arial" w:cs="Arial"/>
          <w:bCs/>
          <w:sz w:val="24"/>
          <w:szCs w:val="24"/>
        </w:rPr>
        <w:t>This consultation closes on 31 January 2019.</w:t>
      </w:r>
    </w:p>
    <w:p w14:paraId="77F62F61" w14:textId="77777777" w:rsidR="00CC398C" w:rsidRPr="00CC398C" w:rsidRDefault="00CC398C" w:rsidP="00017124">
      <w:pPr>
        <w:spacing w:after="0"/>
        <w:jc w:val="both"/>
        <w:rPr>
          <w:rFonts w:ascii="Arial" w:hAnsi="Arial" w:cs="Arial"/>
          <w:bCs/>
          <w:sz w:val="24"/>
          <w:szCs w:val="24"/>
        </w:rPr>
      </w:pPr>
    </w:p>
    <w:p w14:paraId="3A8481D7" w14:textId="77777777" w:rsidR="00CC398C" w:rsidRPr="00CC398C" w:rsidRDefault="00876C25" w:rsidP="00017124">
      <w:pPr>
        <w:spacing w:after="0"/>
        <w:jc w:val="both"/>
        <w:rPr>
          <w:rFonts w:ascii="Arial" w:hAnsi="Arial" w:cs="Arial"/>
          <w:bCs/>
          <w:color w:val="99CC00"/>
          <w:sz w:val="24"/>
          <w:szCs w:val="24"/>
        </w:rPr>
      </w:pPr>
      <w:hyperlink r:id="rId5" w:history="1">
        <w:r w:rsidR="00CC398C" w:rsidRPr="00CC398C">
          <w:rPr>
            <w:rStyle w:val="Hyperlink"/>
            <w:rFonts w:ascii="Arial" w:hAnsi="Arial" w:cs="Arial"/>
            <w:bCs/>
            <w:color w:val="99CC00"/>
            <w:sz w:val="24"/>
            <w:szCs w:val="24"/>
          </w:rPr>
          <w:t>https://www.gov.uk/government/consultations/developer-contributions-reform-technical-consultation</w:t>
        </w:r>
      </w:hyperlink>
      <w:r w:rsidR="00CC398C" w:rsidRPr="00CC398C">
        <w:rPr>
          <w:rFonts w:ascii="Arial" w:hAnsi="Arial" w:cs="Arial"/>
          <w:bCs/>
          <w:color w:val="99CC00"/>
          <w:sz w:val="24"/>
          <w:szCs w:val="24"/>
        </w:rPr>
        <w:t xml:space="preserve"> </w:t>
      </w:r>
    </w:p>
    <w:p w14:paraId="0875FAA3" w14:textId="77777777" w:rsidR="00715C07" w:rsidRPr="00CC398C" w:rsidRDefault="00715C07" w:rsidP="00017124">
      <w:pPr>
        <w:pStyle w:val="NormalWeb"/>
        <w:spacing w:before="0" w:beforeAutospacing="0" w:after="0" w:afterAutospacing="0"/>
        <w:jc w:val="both"/>
        <w:rPr>
          <w:rFonts w:ascii="Arial" w:hAnsi="Arial" w:cs="Arial"/>
          <w:b/>
        </w:rPr>
      </w:pPr>
    </w:p>
    <w:p w14:paraId="311CF76A" w14:textId="77777777" w:rsidR="007E60F7" w:rsidRPr="00CC398C" w:rsidRDefault="00CC398C" w:rsidP="00017124">
      <w:pPr>
        <w:spacing w:after="0"/>
        <w:jc w:val="both"/>
        <w:rPr>
          <w:rFonts w:ascii="Arial" w:hAnsi="Arial" w:cs="Arial"/>
          <w:i/>
          <w:sz w:val="24"/>
          <w:szCs w:val="24"/>
        </w:rPr>
      </w:pPr>
      <w:r w:rsidRPr="008B52E4">
        <w:rPr>
          <w:rFonts w:ascii="Arial" w:hAnsi="Arial" w:cs="Arial"/>
          <w:i/>
          <w:sz w:val="24"/>
          <w:szCs w:val="24"/>
        </w:rPr>
        <w:t>Suggested</w:t>
      </w:r>
      <w:r>
        <w:rPr>
          <w:rFonts w:ascii="Arial" w:hAnsi="Arial" w:cs="Arial"/>
          <w:i/>
          <w:sz w:val="24"/>
          <w:szCs w:val="24"/>
        </w:rPr>
        <w:t xml:space="preserve"> potential responses to a selection of the questions posed</w:t>
      </w:r>
      <w:r w:rsidRPr="008B52E4">
        <w:rPr>
          <w:rFonts w:ascii="Arial" w:hAnsi="Arial" w:cs="Arial"/>
          <w:i/>
          <w:sz w:val="24"/>
          <w:szCs w:val="24"/>
        </w:rPr>
        <w:t xml:space="preserve"> are set out below.</w:t>
      </w:r>
    </w:p>
    <w:p w14:paraId="3F4C59D3" w14:textId="77777777" w:rsidR="009577B1" w:rsidRDefault="009577B1" w:rsidP="00017124">
      <w:pPr>
        <w:pStyle w:val="NormalWeb"/>
        <w:spacing w:before="0" w:beforeAutospacing="0" w:after="0" w:afterAutospacing="0"/>
        <w:jc w:val="both"/>
        <w:rPr>
          <w:rFonts w:ascii="Arial" w:hAnsi="Arial" w:cs="Arial"/>
        </w:rPr>
      </w:pPr>
    </w:p>
    <w:p w14:paraId="6F1ED5F5" w14:textId="77777777" w:rsidR="00CC398C" w:rsidRPr="00CC398C" w:rsidRDefault="00715C07" w:rsidP="00017124">
      <w:pPr>
        <w:pStyle w:val="Default"/>
        <w:jc w:val="both"/>
      </w:pPr>
      <w:r>
        <w:rPr>
          <w:b/>
        </w:rPr>
        <w:t>Question 1</w:t>
      </w:r>
      <w:r w:rsidRPr="00715C07">
        <w:rPr>
          <w:b/>
        </w:rPr>
        <w:t>:</w:t>
      </w:r>
      <w:r w:rsidRPr="00715C07">
        <w:rPr>
          <w:i/>
        </w:rPr>
        <w:t xml:space="preserve"> </w:t>
      </w:r>
      <w:r w:rsidR="00CC398C" w:rsidRPr="00CC398C">
        <w:rPr>
          <w:i/>
        </w:rPr>
        <w:t>Are there any elements in regulation 3 which will prevent the Government achieving the policy intent?</w:t>
      </w:r>
      <w:r w:rsidR="00CC398C" w:rsidRPr="00CC398C">
        <w:rPr>
          <w:sz w:val="23"/>
          <w:szCs w:val="23"/>
        </w:rPr>
        <w:t xml:space="preserve"> </w:t>
      </w:r>
    </w:p>
    <w:p w14:paraId="0D02FDD6" w14:textId="77777777" w:rsidR="00715C07" w:rsidRPr="00715C07" w:rsidRDefault="00715C07" w:rsidP="00017124">
      <w:pPr>
        <w:pStyle w:val="NormalWeb"/>
        <w:spacing w:before="0" w:beforeAutospacing="0" w:after="0" w:afterAutospacing="0"/>
        <w:jc w:val="both"/>
        <w:rPr>
          <w:rFonts w:ascii="Arial" w:hAnsi="Arial" w:cs="Arial"/>
          <w:i/>
        </w:rPr>
      </w:pPr>
    </w:p>
    <w:p w14:paraId="46D0A886" w14:textId="77777777" w:rsidR="00715C07" w:rsidRPr="00715C07" w:rsidRDefault="00CC398C" w:rsidP="00017124">
      <w:pPr>
        <w:pStyle w:val="NormalWeb"/>
        <w:spacing w:before="0" w:beforeAutospacing="0" w:after="0" w:afterAutospacing="0"/>
        <w:jc w:val="both"/>
        <w:rPr>
          <w:rFonts w:ascii="Arial" w:hAnsi="Arial" w:cs="Arial"/>
        </w:rPr>
      </w:pPr>
      <w:r>
        <w:rPr>
          <w:rFonts w:ascii="Arial" w:hAnsi="Arial" w:cs="Arial"/>
        </w:rPr>
        <w:t>The additional flexibility proposed is welcomed. The level of consultation and engagement should</w:t>
      </w:r>
      <w:r w:rsidR="00271BF0">
        <w:rPr>
          <w:rFonts w:ascii="Arial" w:hAnsi="Arial" w:cs="Arial"/>
        </w:rPr>
        <w:t xml:space="preserve"> be proportionate to the charging schedules proposed.</w:t>
      </w:r>
    </w:p>
    <w:p w14:paraId="4DDDF5D8" w14:textId="77777777" w:rsidR="00715C07" w:rsidRPr="00715C07" w:rsidRDefault="00715C07" w:rsidP="00017124">
      <w:pPr>
        <w:pStyle w:val="NormalWeb"/>
        <w:spacing w:before="0" w:beforeAutospacing="0" w:after="0" w:afterAutospacing="0"/>
        <w:jc w:val="both"/>
        <w:rPr>
          <w:rFonts w:ascii="Arial" w:hAnsi="Arial" w:cs="Arial"/>
        </w:rPr>
      </w:pPr>
    </w:p>
    <w:p w14:paraId="572D3F27" w14:textId="77777777" w:rsidR="00271BF0" w:rsidRPr="00271BF0" w:rsidRDefault="00715C07" w:rsidP="00017124">
      <w:pPr>
        <w:pStyle w:val="Default"/>
        <w:jc w:val="both"/>
      </w:pPr>
      <w:r>
        <w:rPr>
          <w:b/>
        </w:rPr>
        <w:t>Question 2</w:t>
      </w:r>
      <w:r w:rsidRPr="00715C07">
        <w:rPr>
          <w:b/>
        </w:rPr>
        <w:t>:</w:t>
      </w:r>
      <w:r w:rsidRPr="00271BF0">
        <w:rPr>
          <w:b/>
          <w:i/>
        </w:rPr>
        <w:t xml:space="preserve"> </w:t>
      </w:r>
      <w:r w:rsidR="00271BF0" w:rsidRPr="00271BF0">
        <w:rPr>
          <w:i/>
        </w:rPr>
        <w:t>Are there any elements in regulations 4 and 12 which will prevent the Government achieving the policy intent?</w:t>
      </w:r>
      <w:r w:rsidR="00271BF0" w:rsidRPr="00271BF0">
        <w:rPr>
          <w:sz w:val="23"/>
          <w:szCs w:val="23"/>
        </w:rPr>
        <w:t xml:space="preserve"> </w:t>
      </w:r>
    </w:p>
    <w:p w14:paraId="7DDC9348" w14:textId="77777777" w:rsidR="00715C07" w:rsidRPr="00715C07" w:rsidRDefault="00715C07" w:rsidP="00017124">
      <w:pPr>
        <w:pStyle w:val="NormalWeb"/>
        <w:spacing w:before="0" w:beforeAutospacing="0" w:after="0" w:afterAutospacing="0"/>
        <w:jc w:val="both"/>
        <w:rPr>
          <w:rFonts w:ascii="Arial" w:hAnsi="Arial" w:cs="Arial"/>
          <w:b/>
          <w:i/>
        </w:rPr>
      </w:pPr>
    </w:p>
    <w:p w14:paraId="120B2260" w14:textId="77777777" w:rsidR="00715C07" w:rsidRPr="00715C07" w:rsidRDefault="00271BF0" w:rsidP="00017124">
      <w:pPr>
        <w:pStyle w:val="NormalWeb"/>
        <w:spacing w:before="0" w:beforeAutospacing="0" w:after="0" w:afterAutospacing="0"/>
        <w:jc w:val="both"/>
        <w:rPr>
          <w:rFonts w:ascii="Arial" w:hAnsi="Arial" w:cs="Arial"/>
        </w:rPr>
      </w:pPr>
      <w:r>
        <w:rPr>
          <w:rFonts w:ascii="Arial" w:hAnsi="Arial" w:cs="Arial"/>
        </w:rPr>
        <w:t>The decision to lift pooling restrictions altogether is hugely welcomed as a mechanism to assist the delivery of critical infrastructure. This will help to remove the uncertainty and delay which can otherwise surround infrastructure delivery. The combined use of the levy with section 106 planning obligation</w:t>
      </w:r>
      <w:r w:rsidR="003D20CC">
        <w:rPr>
          <w:rFonts w:ascii="Arial" w:hAnsi="Arial" w:cs="Arial"/>
        </w:rPr>
        <w:t>s is particularly welcomed.</w:t>
      </w:r>
    </w:p>
    <w:p w14:paraId="50328208" w14:textId="77777777" w:rsidR="00715C07" w:rsidRPr="00715C07" w:rsidRDefault="00715C07" w:rsidP="00017124">
      <w:pPr>
        <w:pStyle w:val="NormalWeb"/>
        <w:spacing w:before="0" w:beforeAutospacing="0" w:after="0" w:afterAutospacing="0"/>
        <w:jc w:val="both"/>
        <w:rPr>
          <w:rFonts w:ascii="Arial" w:hAnsi="Arial" w:cs="Arial"/>
        </w:rPr>
      </w:pPr>
    </w:p>
    <w:p w14:paraId="3CB35FD9" w14:textId="77777777" w:rsidR="003D20CC" w:rsidRPr="003D20CC" w:rsidRDefault="00715C07" w:rsidP="00017124">
      <w:pPr>
        <w:pStyle w:val="Default"/>
        <w:jc w:val="both"/>
      </w:pPr>
      <w:r>
        <w:rPr>
          <w:b/>
        </w:rPr>
        <w:t>Question 3</w:t>
      </w:r>
      <w:r w:rsidRPr="00715C07">
        <w:rPr>
          <w:b/>
        </w:rPr>
        <w:t>:</w:t>
      </w:r>
      <w:r w:rsidRPr="00715C07">
        <w:rPr>
          <w:b/>
          <w:i/>
        </w:rPr>
        <w:t xml:space="preserve"> </w:t>
      </w:r>
      <w:r w:rsidR="003D20CC" w:rsidRPr="003D20CC">
        <w:rPr>
          <w:i/>
        </w:rPr>
        <w:t>Are there any elements in regulation 7 which will prevent the Government achieving the policy intent?</w:t>
      </w:r>
      <w:r w:rsidR="003D20CC" w:rsidRPr="003D20CC">
        <w:rPr>
          <w:sz w:val="23"/>
          <w:szCs w:val="23"/>
        </w:rPr>
        <w:t xml:space="preserve"> </w:t>
      </w:r>
    </w:p>
    <w:p w14:paraId="4870D3BC" w14:textId="77777777" w:rsidR="00715C07" w:rsidRPr="00715C07" w:rsidRDefault="00715C07" w:rsidP="00017124">
      <w:pPr>
        <w:pStyle w:val="NormalWeb"/>
        <w:spacing w:before="0" w:beforeAutospacing="0" w:after="0" w:afterAutospacing="0"/>
        <w:jc w:val="both"/>
        <w:rPr>
          <w:rFonts w:ascii="Arial" w:hAnsi="Arial" w:cs="Arial"/>
          <w:b/>
          <w:i/>
        </w:rPr>
      </w:pPr>
    </w:p>
    <w:p w14:paraId="2B77AD36" w14:textId="77777777" w:rsidR="00715C07" w:rsidRPr="009577B1" w:rsidRDefault="003D20CC" w:rsidP="00017124">
      <w:pPr>
        <w:pStyle w:val="NormalWeb"/>
        <w:spacing w:before="0" w:beforeAutospacing="0" w:after="0" w:afterAutospacing="0"/>
        <w:jc w:val="both"/>
        <w:rPr>
          <w:rFonts w:ascii="Arial" w:hAnsi="Arial" w:cs="Arial"/>
        </w:rPr>
      </w:pPr>
      <w:r>
        <w:rPr>
          <w:rFonts w:ascii="Arial" w:hAnsi="Arial" w:cs="Arial"/>
        </w:rPr>
        <w:t xml:space="preserve">The decision not to introduce a ‘grace period’ is welcomed. However, care is still required to ensure that no developers of any size attempt to ‘game’ the system. </w:t>
      </w:r>
      <w:r>
        <w:rPr>
          <w:rFonts w:ascii="Arial" w:hAnsi="Arial" w:cs="Arial"/>
        </w:rPr>
        <w:lastRenderedPageBreak/>
        <w:t>There should, perhaps, be certain circumstances where the current penalties should still apply.</w:t>
      </w:r>
    </w:p>
    <w:p w14:paraId="293CC942" w14:textId="77777777" w:rsidR="00715C07" w:rsidRPr="00715C07" w:rsidRDefault="00715C07" w:rsidP="00017124">
      <w:pPr>
        <w:pStyle w:val="NormalWeb"/>
        <w:spacing w:before="0" w:beforeAutospacing="0" w:after="0" w:afterAutospacing="0"/>
        <w:jc w:val="both"/>
        <w:rPr>
          <w:rFonts w:ascii="Arial" w:hAnsi="Arial" w:cs="Arial"/>
          <w:b/>
          <w:i/>
        </w:rPr>
      </w:pPr>
    </w:p>
    <w:p w14:paraId="1C01BE3F" w14:textId="77777777" w:rsidR="003D20CC" w:rsidRPr="003D20CC" w:rsidRDefault="009577B1" w:rsidP="00017124">
      <w:pPr>
        <w:pStyle w:val="Default"/>
        <w:jc w:val="both"/>
      </w:pPr>
      <w:r>
        <w:rPr>
          <w:b/>
        </w:rPr>
        <w:t>Question 4</w:t>
      </w:r>
      <w:r w:rsidR="00715C07" w:rsidRPr="009577B1">
        <w:rPr>
          <w:b/>
        </w:rPr>
        <w:t>:</w:t>
      </w:r>
      <w:r w:rsidRPr="009577B1">
        <w:rPr>
          <w:b/>
        </w:rPr>
        <w:t xml:space="preserve"> </w:t>
      </w:r>
      <w:r w:rsidR="003D20CC" w:rsidRPr="003D20CC">
        <w:rPr>
          <w:i/>
        </w:rPr>
        <w:t>Are there any elements in regulation 13 which will prevent the Government achieving the policy intent?</w:t>
      </w:r>
      <w:r w:rsidR="003D20CC" w:rsidRPr="003D20CC">
        <w:rPr>
          <w:sz w:val="23"/>
          <w:szCs w:val="23"/>
        </w:rPr>
        <w:t xml:space="preserve"> </w:t>
      </w:r>
    </w:p>
    <w:p w14:paraId="09EC457D" w14:textId="77777777" w:rsidR="009577B1" w:rsidRPr="00715C07" w:rsidRDefault="009577B1" w:rsidP="00017124">
      <w:pPr>
        <w:pStyle w:val="NormalWeb"/>
        <w:spacing w:before="0" w:beforeAutospacing="0" w:after="0" w:afterAutospacing="0"/>
        <w:jc w:val="both"/>
        <w:rPr>
          <w:rFonts w:ascii="Arial" w:hAnsi="Arial" w:cs="Arial"/>
          <w:b/>
          <w:i/>
        </w:rPr>
      </w:pPr>
    </w:p>
    <w:p w14:paraId="483294A4" w14:textId="77777777" w:rsidR="00715C07" w:rsidRPr="00715C07" w:rsidRDefault="003D20CC" w:rsidP="00017124">
      <w:pPr>
        <w:pStyle w:val="NormalWeb"/>
        <w:spacing w:before="0" w:beforeAutospacing="0" w:after="0" w:afterAutospacing="0"/>
        <w:jc w:val="both"/>
        <w:rPr>
          <w:rFonts w:ascii="Arial" w:hAnsi="Arial" w:cs="Arial"/>
        </w:rPr>
      </w:pPr>
      <w:r>
        <w:rPr>
          <w:rFonts w:ascii="Arial" w:hAnsi="Arial" w:cs="Arial"/>
        </w:rPr>
        <w:t>Notwithstanding the proposed changes to ‘abatement’ provisions</w:t>
      </w:r>
      <w:r w:rsidR="00086B2F">
        <w:rPr>
          <w:rFonts w:ascii="Arial" w:hAnsi="Arial" w:cs="Arial"/>
        </w:rPr>
        <w:t>, it is important to ensure that each phase of a development remains a separate chargeable development. This is as proposed in the consultation document and is supported.</w:t>
      </w:r>
    </w:p>
    <w:p w14:paraId="577D3550" w14:textId="77777777" w:rsidR="00715C07" w:rsidRPr="00715C07" w:rsidRDefault="00715C07" w:rsidP="00017124">
      <w:pPr>
        <w:pStyle w:val="NormalWeb"/>
        <w:spacing w:before="0" w:beforeAutospacing="0" w:after="0" w:afterAutospacing="0"/>
        <w:jc w:val="both"/>
        <w:rPr>
          <w:rFonts w:ascii="Arial" w:hAnsi="Arial" w:cs="Arial"/>
          <w:b/>
          <w:i/>
        </w:rPr>
      </w:pPr>
    </w:p>
    <w:p w14:paraId="797320D1" w14:textId="77777777" w:rsidR="00086B2F" w:rsidRPr="00086B2F" w:rsidRDefault="00715C07" w:rsidP="00017124">
      <w:pPr>
        <w:pStyle w:val="Default"/>
        <w:jc w:val="both"/>
      </w:pPr>
      <w:r>
        <w:rPr>
          <w:b/>
        </w:rPr>
        <w:t>Question 5</w:t>
      </w:r>
      <w:r w:rsidRPr="00715C07">
        <w:rPr>
          <w:b/>
        </w:rPr>
        <w:t>:</w:t>
      </w:r>
      <w:r w:rsidRPr="00715C07">
        <w:rPr>
          <w:b/>
          <w:i/>
        </w:rPr>
        <w:t xml:space="preserve"> </w:t>
      </w:r>
      <w:r w:rsidR="00086B2F" w:rsidRPr="00086B2F">
        <w:rPr>
          <w:i/>
        </w:rPr>
        <w:t xml:space="preserve">Are there any elements in regulation 6 which will prevent the Government achieving the policy intent? </w:t>
      </w:r>
    </w:p>
    <w:p w14:paraId="50BEDB33" w14:textId="77777777" w:rsidR="00715C07" w:rsidRPr="00715C07" w:rsidRDefault="00715C07" w:rsidP="00017124">
      <w:pPr>
        <w:pStyle w:val="NormalWeb"/>
        <w:spacing w:before="0" w:beforeAutospacing="0" w:after="0" w:afterAutospacing="0"/>
        <w:jc w:val="both"/>
        <w:rPr>
          <w:rFonts w:ascii="Arial" w:hAnsi="Arial" w:cs="Arial"/>
          <w:b/>
          <w:i/>
        </w:rPr>
      </w:pPr>
    </w:p>
    <w:p w14:paraId="44EC154F" w14:textId="77777777" w:rsidR="00715C07" w:rsidRPr="00715C07" w:rsidRDefault="00086B2F" w:rsidP="00017124">
      <w:pPr>
        <w:pStyle w:val="NormalWeb"/>
        <w:spacing w:before="0" w:beforeAutospacing="0" w:after="0" w:afterAutospacing="0"/>
        <w:jc w:val="both"/>
        <w:rPr>
          <w:rFonts w:ascii="Arial" w:hAnsi="Arial" w:cs="Arial"/>
        </w:rPr>
      </w:pPr>
      <w:r>
        <w:rPr>
          <w:rFonts w:ascii="Arial" w:hAnsi="Arial" w:cs="Arial"/>
        </w:rPr>
        <w:t xml:space="preserve">There is a risk of confusion with respect to the issue of indexation and the re-calculation of applicable levy payments. </w:t>
      </w:r>
      <w:r w:rsidR="00715C07" w:rsidRPr="00715C07">
        <w:rPr>
          <w:rFonts w:ascii="Arial" w:hAnsi="Arial" w:cs="Arial"/>
        </w:rPr>
        <w:t>W</w:t>
      </w:r>
      <w:r>
        <w:rPr>
          <w:rFonts w:ascii="Arial" w:hAnsi="Arial" w:cs="Arial"/>
        </w:rPr>
        <w:t>hatever rules are applied to indexation, these should be clear and understood by both developers and planning authorities.</w:t>
      </w:r>
    </w:p>
    <w:p w14:paraId="2FFA531D" w14:textId="77777777" w:rsidR="00715C07" w:rsidRPr="00715C07" w:rsidRDefault="00715C07" w:rsidP="00017124">
      <w:pPr>
        <w:pStyle w:val="NormalWeb"/>
        <w:spacing w:before="0" w:beforeAutospacing="0" w:after="0" w:afterAutospacing="0"/>
        <w:jc w:val="both"/>
        <w:rPr>
          <w:rFonts w:ascii="Arial" w:hAnsi="Arial" w:cs="Arial"/>
        </w:rPr>
      </w:pPr>
    </w:p>
    <w:p w14:paraId="31534A17" w14:textId="77777777" w:rsidR="001F5057" w:rsidRPr="001F5057" w:rsidRDefault="00715C07" w:rsidP="00017124">
      <w:pPr>
        <w:pStyle w:val="Default"/>
        <w:jc w:val="both"/>
      </w:pPr>
      <w:r>
        <w:rPr>
          <w:b/>
        </w:rPr>
        <w:t>Question</w:t>
      </w:r>
      <w:r w:rsidR="001F5057">
        <w:rPr>
          <w:b/>
        </w:rPr>
        <w:t>s</w:t>
      </w:r>
      <w:r>
        <w:rPr>
          <w:b/>
        </w:rPr>
        <w:t xml:space="preserve"> 6</w:t>
      </w:r>
      <w:r w:rsidR="001F5057">
        <w:rPr>
          <w:b/>
        </w:rPr>
        <w:t xml:space="preserve"> &amp; 7</w:t>
      </w:r>
      <w:r w:rsidRPr="00715C07">
        <w:rPr>
          <w:b/>
        </w:rPr>
        <w:t>:</w:t>
      </w:r>
      <w:r w:rsidRPr="00715C07">
        <w:rPr>
          <w:b/>
          <w:i/>
        </w:rPr>
        <w:t xml:space="preserve"> </w:t>
      </w:r>
      <w:r w:rsidR="00086B2F" w:rsidRPr="00086B2F">
        <w:rPr>
          <w:i/>
        </w:rPr>
        <w:t>Are there any elements in regulation 5 which will prevent the Government achieving the policy intent?</w:t>
      </w:r>
      <w:r w:rsidR="00086B2F" w:rsidRPr="00086B2F">
        <w:rPr>
          <w:sz w:val="23"/>
          <w:szCs w:val="23"/>
        </w:rPr>
        <w:t xml:space="preserve"> </w:t>
      </w:r>
      <w:r w:rsidR="001F5057" w:rsidRPr="001F5057">
        <w:rPr>
          <w:i/>
        </w:rPr>
        <w:t xml:space="preserve">Do you have any further comments in relation to the Government’s proposed approach to Community Infrastructure Levy indexation including, for residential development, the approach of using a smoothed index using local house </w:t>
      </w:r>
      <w:proofErr w:type="gramStart"/>
      <w:r w:rsidR="001F5057" w:rsidRPr="001F5057">
        <w:rPr>
          <w:i/>
        </w:rPr>
        <w:t>prices.</w:t>
      </w:r>
      <w:proofErr w:type="gramEnd"/>
    </w:p>
    <w:p w14:paraId="634E23ED" w14:textId="77777777" w:rsidR="00715C07" w:rsidRPr="00715C07" w:rsidRDefault="00715C07" w:rsidP="00017124">
      <w:pPr>
        <w:pStyle w:val="NormalWeb"/>
        <w:spacing w:before="0" w:beforeAutospacing="0" w:after="0" w:afterAutospacing="0"/>
        <w:jc w:val="both"/>
        <w:rPr>
          <w:rFonts w:ascii="Arial" w:hAnsi="Arial" w:cs="Arial"/>
          <w:b/>
          <w:i/>
        </w:rPr>
      </w:pPr>
    </w:p>
    <w:p w14:paraId="47C5378E" w14:textId="77777777" w:rsidR="00715C07" w:rsidRDefault="001F5057" w:rsidP="00017124">
      <w:pPr>
        <w:pStyle w:val="NormalWeb"/>
        <w:spacing w:before="0" w:beforeAutospacing="0" w:after="0" w:afterAutospacing="0"/>
        <w:jc w:val="both"/>
        <w:rPr>
          <w:rFonts w:ascii="Arial" w:hAnsi="Arial" w:cs="Arial"/>
        </w:rPr>
      </w:pPr>
      <w:r>
        <w:rPr>
          <w:rFonts w:ascii="Arial" w:hAnsi="Arial" w:cs="Arial"/>
        </w:rPr>
        <w:t>It is disappointing that indexation will not be linked to the cost of building infrastructure. Whilst the proposals will provide additional comfort to developers in terms of viability, they will not serve to expedite local authority planning and budgeting of infrastructure work.</w:t>
      </w:r>
    </w:p>
    <w:p w14:paraId="73F1111C" w14:textId="77777777" w:rsidR="001F5057" w:rsidRDefault="001F5057" w:rsidP="00017124">
      <w:pPr>
        <w:pStyle w:val="NormalWeb"/>
        <w:spacing w:before="0" w:beforeAutospacing="0" w:after="0" w:afterAutospacing="0"/>
        <w:jc w:val="both"/>
        <w:rPr>
          <w:rFonts w:ascii="Arial" w:hAnsi="Arial" w:cs="Arial"/>
        </w:rPr>
      </w:pPr>
      <w:r>
        <w:rPr>
          <w:rFonts w:ascii="Arial" w:hAnsi="Arial" w:cs="Arial"/>
        </w:rPr>
        <w:t>If the proposed changes are to be made then it is sensible to smooth out the calculations over a 3 year period given the perpetual fluctuations in house prices.</w:t>
      </w:r>
    </w:p>
    <w:p w14:paraId="022A46CD" w14:textId="77777777" w:rsidR="00715C07" w:rsidRPr="00715C07" w:rsidRDefault="00715C07" w:rsidP="00017124">
      <w:pPr>
        <w:pStyle w:val="NormalWeb"/>
        <w:spacing w:before="0" w:beforeAutospacing="0" w:after="0" w:afterAutospacing="0"/>
        <w:jc w:val="both"/>
        <w:rPr>
          <w:rFonts w:ascii="Arial" w:hAnsi="Arial" w:cs="Arial"/>
        </w:rPr>
      </w:pPr>
    </w:p>
    <w:p w14:paraId="2AEAE20B" w14:textId="77777777" w:rsidR="001F5057" w:rsidRPr="001F5057" w:rsidRDefault="00715C07" w:rsidP="00017124">
      <w:pPr>
        <w:pStyle w:val="Default"/>
        <w:jc w:val="both"/>
      </w:pPr>
      <w:r w:rsidRPr="00715C07">
        <w:rPr>
          <w:b/>
        </w:rPr>
        <w:t>Question 8:</w:t>
      </w:r>
      <w:r w:rsidRPr="00715C07">
        <w:rPr>
          <w:b/>
          <w:i/>
        </w:rPr>
        <w:t xml:space="preserve"> </w:t>
      </w:r>
      <w:r w:rsidR="001F5057" w:rsidRPr="001F5057">
        <w:rPr>
          <w:i/>
        </w:rPr>
        <w:t>Are there any elements in regulation 10 which will prevent the Government achieving the policy intent?</w:t>
      </w:r>
    </w:p>
    <w:p w14:paraId="0FEE82FD" w14:textId="77777777" w:rsidR="00715C07" w:rsidRPr="00715C07" w:rsidRDefault="00715C07" w:rsidP="00017124">
      <w:pPr>
        <w:pStyle w:val="NormalWeb"/>
        <w:spacing w:before="0" w:beforeAutospacing="0" w:after="0" w:afterAutospacing="0"/>
        <w:jc w:val="both"/>
        <w:rPr>
          <w:rFonts w:ascii="Arial" w:hAnsi="Arial" w:cs="Arial"/>
          <w:b/>
          <w:i/>
        </w:rPr>
      </w:pPr>
    </w:p>
    <w:p w14:paraId="4C23D6DC" w14:textId="77777777" w:rsidR="00715C07" w:rsidRDefault="005D7AD2" w:rsidP="00017124">
      <w:pPr>
        <w:pStyle w:val="NormalWeb"/>
        <w:spacing w:before="0" w:beforeAutospacing="0" w:after="0" w:afterAutospacing="0"/>
        <w:jc w:val="both"/>
        <w:rPr>
          <w:rFonts w:ascii="Arial" w:hAnsi="Arial" w:cs="Arial"/>
        </w:rPr>
      </w:pPr>
      <w:r>
        <w:rPr>
          <w:rFonts w:ascii="Arial" w:hAnsi="Arial" w:cs="Arial"/>
        </w:rPr>
        <w:t>The proposed requirement to produce annual Infrastructure Funding Statements is understandable. However, this requirement will add yet another administrative burden to local authorities who are already incredibly stretched.</w:t>
      </w:r>
    </w:p>
    <w:p w14:paraId="15F6A38B" w14:textId="77777777" w:rsidR="005D7AD2" w:rsidRPr="00715C07" w:rsidRDefault="005D7AD2" w:rsidP="00017124">
      <w:pPr>
        <w:pStyle w:val="NormalWeb"/>
        <w:spacing w:before="0" w:beforeAutospacing="0" w:after="0" w:afterAutospacing="0"/>
        <w:jc w:val="both"/>
        <w:rPr>
          <w:rFonts w:ascii="Arial" w:hAnsi="Arial" w:cs="Arial"/>
        </w:rPr>
      </w:pPr>
      <w:r>
        <w:rPr>
          <w:rFonts w:ascii="Arial" w:hAnsi="Arial" w:cs="Arial"/>
        </w:rPr>
        <w:t>If this is to go forward, it is critical that the tools produced to assist local authorities are robust and straightforward so that these assist in the production of these annual statements.</w:t>
      </w:r>
    </w:p>
    <w:p w14:paraId="31ECDB5F" w14:textId="77777777" w:rsidR="00715C07" w:rsidRPr="00715C07" w:rsidRDefault="00715C07" w:rsidP="00017124">
      <w:pPr>
        <w:pStyle w:val="NormalWeb"/>
        <w:spacing w:before="0" w:beforeAutospacing="0" w:after="0" w:afterAutospacing="0"/>
        <w:jc w:val="both"/>
        <w:rPr>
          <w:rFonts w:ascii="Arial" w:hAnsi="Arial" w:cs="Arial"/>
          <w:b/>
          <w:i/>
        </w:rPr>
      </w:pPr>
    </w:p>
    <w:p w14:paraId="66A8971D" w14:textId="77777777" w:rsidR="005D7AD2" w:rsidRPr="005D7AD2" w:rsidRDefault="00715C07" w:rsidP="00017124">
      <w:pPr>
        <w:pStyle w:val="Default"/>
        <w:jc w:val="both"/>
      </w:pPr>
      <w:r w:rsidRPr="00715C07">
        <w:rPr>
          <w:b/>
        </w:rPr>
        <w:t>Question 9:</w:t>
      </w:r>
      <w:r w:rsidRPr="00715C07">
        <w:rPr>
          <w:b/>
          <w:i/>
        </w:rPr>
        <w:t xml:space="preserve"> </w:t>
      </w:r>
      <w:r w:rsidR="005D7AD2" w:rsidRPr="005D7AD2">
        <w:rPr>
          <w:i/>
        </w:rPr>
        <w:t>Are there any elements in regulation 11 which will prevent the Government achieving the policy intent?</w:t>
      </w:r>
      <w:r w:rsidR="005D7AD2" w:rsidRPr="005D7AD2">
        <w:rPr>
          <w:sz w:val="23"/>
          <w:szCs w:val="23"/>
        </w:rPr>
        <w:t xml:space="preserve"> </w:t>
      </w:r>
    </w:p>
    <w:p w14:paraId="6CBA17F0" w14:textId="77777777" w:rsidR="005D7AD2" w:rsidRPr="005D7AD2" w:rsidRDefault="00715C07" w:rsidP="00017124">
      <w:pPr>
        <w:pStyle w:val="NormalWeb"/>
        <w:spacing w:before="0" w:beforeAutospacing="0" w:after="0" w:afterAutospacing="0"/>
        <w:jc w:val="both"/>
        <w:rPr>
          <w:rFonts w:ascii="Arial" w:hAnsi="Arial" w:cs="Arial"/>
          <w:b/>
          <w:i/>
        </w:rPr>
      </w:pPr>
      <w:r w:rsidRPr="00715C07">
        <w:rPr>
          <w:rFonts w:ascii="Arial" w:hAnsi="Arial" w:cs="Arial"/>
          <w:b/>
          <w:i/>
        </w:rPr>
        <w:t xml:space="preserve"> </w:t>
      </w:r>
    </w:p>
    <w:p w14:paraId="3A353B50" w14:textId="77777777" w:rsidR="005D7AD2" w:rsidRPr="005D7AD2" w:rsidRDefault="00017124" w:rsidP="0001712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 proposal </w:t>
      </w:r>
      <w:r w:rsidR="005D7AD2" w:rsidRPr="005D7AD2">
        <w:rPr>
          <w:rFonts w:ascii="Arial" w:hAnsi="Arial" w:cs="Arial"/>
          <w:color w:val="000000"/>
          <w:sz w:val="24"/>
          <w:szCs w:val="24"/>
        </w:rPr>
        <w:t>to specifically permit authorities to seek a</w:t>
      </w:r>
      <w:r>
        <w:rPr>
          <w:rFonts w:ascii="Arial" w:hAnsi="Arial" w:cs="Arial"/>
          <w:color w:val="000000"/>
          <w:sz w:val="24"/>
          <w:szCs w:val="24"/>
        </w:rPr>
        <w:t xml:space="preserve"> ‘proportionate and reasonable’</w:t>
      </w:r>
      <w:r w:rsidR="005D7AD2" w:rsidRPr="005D7AD2">
        <w:rPr>
          <w:rFonts w:ascii="Arial" w:hAnsi="Arial" w:cs="Arial"/>
          <w:color w:val="000000"/>
          <w:sz w:val="24"/>
          <w:szCs w:val="24"/>
        </w:rPr>
        <w:t xml:space="preserve"> monitoring fee through section 106 planning obligations</w:t>
      </w:r>
      <w:r>
        <w:rPr>
          <w:rFonts w:ascii="Arial" w:hAnsi="Arial" w:cs="Arial"/>
          <w:color w:val="000000"/>
          <w:sz w:val="24"/>
          <w:szCs w:val="24"/>
        </w:rPr>
        <w:t xml:space="preserve"> is welcomed in helping to meet the associated costs.</w:t>
      </w:r>
      <w:r w:rsidR="005D7AD2" w:rsidRPr="005D7AD2">
        <w:rPr>
          <w:rFonts w:ascii="Arial" w:hAnsi="Arial" w:cs="Arial"/>
          <w:color w:val="000000"/>
          <w:sz w:val="24"/>
          <w:szCs w:val="24"/>
        </w:rPr>
        <w:t xml:space="preserve"> </w:t>
      </w:r>
    </w:p>
    <w:p w14:paraId="276D8AF0" w14:textId="77777777" w:rsidR="008B52E4" w:rsidRPr="00017124" w:rsidRDefault="008B52E4" w:rsidP="009336DC">
      <w:pPr>
        <w:spacing w:after="0"/>
        <w:jc w:val="both"/>
        <w:rPr>
          <w:rFonts w:ascii="Arial" w:hAnsi="Arial" w:cs="Arial"/>
          <w:sz w:val="24"/>
          <w:szCs w:val="24"/>
        </w:rPr>
      </w:pPr>
    </w:p>
    <w:sectPr w:rsidR="008B52E4" w:rsidRPr="00017124" w:rsidSect="00876C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C0A"/>
    <w:multiLevelType w:val="multilevel"/>
    <w:tmpl w:val="9400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F0342"/>
    <w:multiLevelType w:val="multilevel"/>
    <w:tmpl w:val="3262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D6C77"/>
    <w:multiLevelType w:val="hybridMultilevel"/>
    <w:tmpl w:val="E996B43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93C6153"/>
    <w:multiLevelType w:val="hybridMultilevel"/>
    <w:tmpl w:val="519C31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84DFE"/>
    <w:multiLevelType w:val="multilevel"/>
    <w:tmpl w:val="90A0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F4211"/>
    <w:multiLevelType w:val="hybridMultilevel"/>
    <w:tmpl w:val="6FDE1F02"/>
    <w:lvl w:ilvl="0" w:tplc="2F30C68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F2576"/>
    <w:multiLevelType w:val="hybridMultilevel"/>
    <w:tmpl w:val="D8781614"/>
    <w:lvl w:ilvl="0" w:tplc="2F30C68C">
      <w:start w:val="1"/>
      <w:numFmt w:val="bullet"/>
      <w:lvlText w:val=""/>
      <w:lvlJc w:val="left"/>
      <w:pPr>
        <w:ind w:left="-207" w:hanging="360"/>
      </w:pPr>
      <w:rPr>
        <w:rFonts w:ascii="Symbol" w:hAnsi="Symbol" w:hint="default"/>
      </w:rPr>
    </w:lvl>
    <w:lvl w:ilvl="1" w:tplc="08090003" w:tentative="1">
      <w:start w:val="1"/>
      <w:numFmt w:val="lowerLetter"/>
      <w:lvlText w:val="%2."/>
      <w:lvlJc w:val="left"/>
      <w:pPr>
        <w:ind w:left="513" w:hanging="360"/>
      </w:pPr>
    </w:lvl>
    <w:lvl w:ilvl="2" w:tplc="08090005" w:tentative="1">
      <w:start w:val="1"/>
      <w:numFmt w:val="lowerRoman"/>
      <w:lvlText w:val="%3."/>
      <w:lvlJc w:val="right"/>
      <w:pPr>
        <w:ind w:left="1233" w:hanging="180"/>
      </w:pPr>
    </w:lvl>
    <w:lvl w:ilvl="3" w:tplc="08090001" w:tentative="1">
      <w:start w:val="1"/>
      <w:numFmt w:val="decimal"/>
      <w:lvlText w:val="%4."/>
      <w:lvlJc w:val="left"/>
      <w:pPr>
        <w:ind w:left="1953" w:hanging="360"/>
      </w:pPr>
    </w:lvl>
    <w:lvl w:ilvl="4" w:tplc="08090003" w:tentative="1">
      <w:start w:val="1"/>
      <w:numFmt w:val="lowerLetter"/>
      <w:lvlText w:val="%5."/>
      <w:lvlJc w:val="left"/>
      <w:pPr>
        <w:ind w:left="2673" w:hanging="360"/>
      </w:pPr>
    </w:lvl>
    <w:lvl w:ilvl="5" w:tplc="08090005" w:tentative="1">
      <w:start w:val="1"/>
      <w:numFmt w:val="lowerRoman"/>
      <w:lvlText w:val="%6."/>
      <w:lvlJc w:val="right"/>
      <w:pPr>
        <w:ind w:left="3393" w:hanging="180"/>
      </w:pPr>
    </w:lvl>
    <w:lvl w:ilvl="6" w:tplc="08090001" w:tentative="1">
      <w:start w:val="1"/>
      <w:numFmt w:val="decimal"/>
      <w:lvlText w:val="%7."/>
      <w:lvlJc w:val="left"/>
      <w:pPr>
        <w:ind w:left="4113" w:hanging="360"/>
      </w:pPr>
    </w:lvl>
    <w:lvl w:ilvl="7" w:tplc="08090003" w:tentative="1">
      <w:start w:val="1"/>
      <w:numFmt w:val="lowerLetter"/>
      <w:lvlText w:val="%8."/>
      <w:lvlJc w:val="left"/>
      <w:pPr>
        <w:ind w:left="4833" w:hanging="360"/>
      </w:pPr>
    </w:lvl>
    <w:lvl w:ilvl="8" w:tplc="08090005" w:tentative="1">
      <w:start w:val="1"/>
      <w:numFmt w:val="lowerRoman"/>
      <w:lvlText w:val="%9."/>
      <w:lvlJc w:val="right"/>
      <w:pPr>
        <w:ind w:left="5553" w:hanging="180"/>
      </w:pPr>
    </w:lvl>
  </w:abstractNum>
  <w:abstractNum w:abstractNumId="7" w15:restartNumberingAfterBreak="0">
    <w:nsid w:val="194C246C"/>
    <w:multiLevelType w:val="hybridMultilevel"/>
    <w:tmpl w:val="DDC4343C"/>
    <w:lvl w:ilvl="0" w:tplc="08090001">
      <w:start w:val="1"/>
      <w:numFmt w:val="bullet"/>
      <w:lvlText w:val=""/>
      <w:lvlJc w:val="left"/>
      <w:pPr>
        <w:ind w:left="-207" w:hanging="360"/>
      </w:pPr>
      <w:rPr>
        <w:rFonts w:ascii="Symbol" w:hAnsi="Symbol"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37F32797"/>
    <w:multiLevelType w:val="multilevel"/>
    <w:tmpl w:val="4092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F6C1B"/>
    <w:multiLevelType w:val="multilevel"/>
    <w:tmpl w:val="3C60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00E16"/>
    <w:multiLevelType w:val="multilevel"/>
    <w:tmpl w:val="34F2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D1659C"/>
    <w:multiLevelType w:val="multilevel"/>
    <w:tmpl w:val="D098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76577A"/>
    <w:multiLevelType w:val="hybridMultilevel"/>
    <w:tmpl w:val="4EDC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2387D"/>
    <w:multiLevelType w:val="hybridMultilevel"/>
    <w:tmpl w:val="8794B302"/>
    <w:lvl w:ilvl="0" w:tplc="F5E85872">
      <w:start w:val="1"/>
      <w:numFmt w:val="bullet"/>
      <w:lvlText w:val=""/>
      <w:lvlJc w:val="left"/>
      <w:pPr>
        <w:ind w:left="-207" w:hanging="360"/>
      </w:pPr>
      <w:rPr>
        <w:rFonts w:ascii="Symbol" w:hAnsi="Symbol" w:hint="default"/>
      </w:rPr>
    </w:lvl>
    <w:lvl w:ilvl="1" w:tplc="08090003" w:tentative="1">
      <w:start w:val="1"/>
      <w:numFmt w:val="lowerLetter"/>
      <w:lvlText w:val="%2."/>
      <w:lvlJc w:val="left"/>
      <w:pPr>
        <w:ind w:left="513" w:hanging="360"/>
      </w:pPr>
    </w:lvl>
    <w:lvl w:ilvl="2" w:tplc="08090005" w:tentative="1">
      <w:start w:val="1"/>
      <w:numFmt w:val="lowerRoman"/>
      <w:lvlText w:val="%3."/>
      <w:lvlJc w:val="right"/>
      <w:pPr>
        <w:ind w:left="1233" w:hanging="180"/>
      </w:pPr>
    </w:lvl>
    <w:lvl w:ilvl="3" w:tplc="08090001" w:tentative="1">
      <w:start w:val="1"/>
      <w:numFmt w:val="decimal"/>
      <w:lvlText w:val="%4."/>
      <w:lvlJc w:val="left"/>
      <w:pPr>
        <w:ind w:left="1953" w:hanging="360"/>
      </w:pPr>
    </w:lvl>
    <w:lvl w:ilvl="4" w:tplc="08090003" w:tentative="1">
      <w:start w:val="1"/>
      <w:numFmt w:val="lowerLetter"/>
      <w:lvlText w:val="%5."/>
      <w:lvlJc w:val="left"/>
      <w:pPr>
        <w:ind w:left="2673" w:hanging="360"/>
      </w:pPr>
    </w:lvl>
    <w:lvl w:ilvl="5" w:tplc="08090005" w:tentative="1">
      <w:start w:val="1"/>
      <w:numFmt w:val="lowerRoman"/>
      <w:lvlText w:val="%6."/>
      <w:lvlJc w:val="right"/>
      <w:pPr>
        <w:ind w:left="3393" w:hanging="180"/>
      </w:pPr>
    </w:lvl>
    <w:lvl w:ilvl="6" w:tplc="08090001" w:tentative="1">
      <w:start w:val="1"/>
      <w:numFmt w:val="decimal"/>
      <w:lvlText w:val="%7."/>
      <w:lvlJc w:val="left"/>
      <w:pPr>
        <w:ind w:left="4113" w:hanging="360"/>
      </w:pPr>
    </w:lvl>
    <w:lvl w:ilvl="7" w:tplc="08090003" w:tentative="1">
      <w:start w:val="1"/>
      <w:numFmt w:val="lowerLetter"/>
      <w:lvlText w:val="%8."/>
      <w:lvlJc w:val="left"/>
      <w:pPr>
        <w:ind w:left="4833" w:hanging="360"/>
      </w:pPr>
    </w:lvl>
    <w:lvl w:ilvl="8" w:tplc="08090005" w:tentative="1">
      <w:start w:val="1"/>
      <w:numFmt w:val="lowerRoman"/>
      <w:lvlText w:val="%9."/>
      <w:lvlJc w:val="right"/>
      <w:pPr>
        <w:ind w:left="5553" w:hanging="180"/>
      </w:pPr>
    </w:lvl>
  </w:abstractNum>
  <w:abstractNum w:abstractNumId="14" w15:restartNumberingAfterBreak="0">
    <w:nsid w:val="4FDB4E4A"/>
    <w:multiLevelType w:val="multilevel"/>
    <w:tmpl w:val="71E6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4428F4"/>
    <w:multiLevelType w:val="hybridMultilevel"/>
    <w:tmpl w:val="BA640D42"/>
    <w:lvl w:ilvl="0" w:tplc="00762312">
      <w:start w:val="7"/>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706E2"/>
    <w:multiLevelType w:val="hybridMultilevel"/>
    <w:tmpl w:val="8B0C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B1CAB"/>
    <w:multiLevelType w:val="multilevel"/>
    <w:tmpl w:val="0362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000231"/>
    <w:multiLevelType w:val="multilevel"/>
    <w:tmpl w:val="7D4E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147D4C"/>
    <w:multiLevelType w:val="multilevel"/>
    <w:tmpl w:val="6616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9C7218"/>
    <w:multiLevelType w:val="hybridMultilevel"/>
    <w:tmpl w:val="219EF212"/>
    <w:lvl w:ilvl="0" w:tplc="AAEEF4B4">
      <w:start w:val="1"/>
      <w:numFmt w:val="lowerLetter"/>
      <w:lvlText w:val="%1)"/>
      <w:lvlJc w:val="left"/>
      <w:pPr>
        <w:ind w:left="720" w:hanging="360"/>
      </w:pPr>
      <w:rPr>
        <w:rFonts w:hint="default"/>
      </w:rPr>
    </w:lvl>
    <w:lvl w:ilvl="1" w:tplc="47B6A7C6" w:tentative="1">
      <w:start w:val="1"/>
      <w:numFmt w:val="lowerLetter"/>
      <w:lvlText w:val="%2."/>
      <w:lvlJc w:val="left"/>
      <w:pPr>
        <w:ind w:left="1440" w:hanging="360"/>
      </w:pPr>
    </w:lvl>
    <w:lvl w:ilvl="2" w:tplc="DC6817DC" w:tentative="1">
      <w:start w:val="1"/>
      <w:numFmt w:val="lowerRoman"/>
      <w:lvlText w:val="%3."/>
      <w:lvlJc w:val="right"/>
      <w:pPr>
        <w:ind w:left="2160" w:hanging="180"/>
      </w:pPr>
    </w:lvl>
    <w:lvl w:ilvl="3" w:tplc="D3281C4E" w:tentative="1">
      <w:start w:val="1"/>
      <w:numFmt w:val="decimal"/>
      <w:lvlText w:val="%4."/>
      <w:lvlJc w:val="left"/>
      <w:pPr>
        <w:ind w:left="2880" w:hanging="360"/>
      </w:pPr>
    </w:lvl>
    <w:lvl w:ilvl="4" w:tplc="341214E8" w:tentative="1">
      <w:start w:val="1"/>
      <w:numFmt w:val="lowerLetter"/>
      <w:lvlText w:val="%5."/>
      <w:lvlJc w:val="left"/>
      <w:pPr>
        <w:ind w:left="3600" w:hanging="360"/>
      </w:pPr>
    </w:lvl>
    <w:lvl w:ilvl="5" w:tplc="6AACBACA" w:tentative="1">
      <w:start w:val="1"/>
      <w:numFmt w:val="lowerRoman"/>
      <w:lvlText w:val="%6."/>
      <w:lvlJc w:val="right"/>
      <w:pPr>
        <w:ind w:left="4320" w:hanging="180"/>
      </w:pPr>
    </w:lvl>
    <w:lvl w:ilvl="6" w:tplc="745C7C06" w:tentative="1">
      <w:start w:val="1"/>
      <w:numFmt w:val="decimal"/>
      <w:lvlText w:val="%7."/>
      <w:lvlJc w:val="left"/>
      <w:pPr>
        <w:ind w:left="5040" w:hanging="360"/>
      </w:pPr>
    </w:lvl>
    <w:lvl w:ilvl="7" w:tplc="858A6094" w:tentative="1">
      <w:start w:val="1"/>
      <w:numFmt w:val="lowerLetter"/>
      <w:lvlText w:val="%8."/>
      <w:lvlJc w:val="left"/>
      <w:pPr>
        <w:ind w:left="5760" w:hanging="360"/>
      </w:pPr>
    </w:lvl>
    <w:lvl w:ilvl="8" w:tplc="782A3EE6" w:tentative="1">
      <w:start w:val="1"/>
      <w:numFmt w:val="lowerRoman"/>
      <w:lvlText w:val="%9."/>
      <w:lvlJc w:val="right"/>
      <w:pPr>
        <w:ind w:left="6480" w:hanging="180"/>
      </w:pPr>
    </w:lvl>
  </w:abstractNum>
  <w:abstractNum w:abstractNumId="21" w15:restartNumberingAfterBreak="0">
    <w:nsid w:val="740B1D83"/>
    <w:multiLevelType w:val="hybridMultilevel"/>
    <w:tmpl w:val="B38EC38E"/>
    <w:lvl w:ilvl="0" w:tplc="08090001">
      <w:start w:val="1"/>
      <w:numFmt w:val="bullet"/>
      <w:lvlText w:val=""/>
      <w:lvlJc w:val="left"/>
      <w:pPr>
        <w:ind w:left="-207" w:hanging="360"/>
      </w:pPr>
      <w:rPr>
        <w:rFonts w:ascii="Symbol" w:hAnsi="Symbol"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2" w15:restartNumberingAfterBreak="0">
    <w:nsid w:val="74361808"/>
    <w:multiLevelType w:val="multilevel"/>
    <w:tmpl w:val="59A8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796E38"/>
    <w:multiLevelType w:val="multilevel"/>
    <w:tmpl w:val="30C8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AC6431"/>
    <w:multiLevelType w:val="hybridMultilevel"/>
    <w:tmpl w:val="160E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B1276A"/>
    <w:multiLevelType w:val="hybridMultilevel"/>
    <w:tmpl w:val="519C3172"/>
    <w:lvl w:ilvl="0" w:tplc="CA84BC8C">
      <w:start w:val="1"/>
      <w:numFmt w:val="lowerLetter"/>
      <w:lvlText w:val="%1)"/>
      <w:lvlJc w:val="left"/>
      <w:pPr>
        <w:ind w:left="720" w:hanging="360"/>
      </w:pPr>
      <w:rPr>
        <w:rFonts w:hint="default"/>
      </w:rPr>
    </w:lvl>
    <w:lvl w:ilvl="1" w:tplc="E020BDAA" w:tentative="1">
      <w:start w:val="1"/>
      <w:numFmt w:val="lowerLetter"/>
      <w:lvlText w:val="%2."/>
      <w:lvlJc w:val="left"/>
      <w:pPr>
        <w:ind w:left="1440" w:hanging="360"/>
      </w:pPr>
    </w:lvl>
    <w:lvl w:ilvl="2" w:tplc="CADCE916" w:tentative="1">
      <w:start w:val="1"/>
      <w:numFmt w:val="lowerRoman"/>
      <w:lvlText w:val="%3."/>
      <w:lvlJc w:val="right"/>
      <w:pPr>
        <w:ind w:left="2160" w:hanging="180"/>
      </w:pPr>
    </w:lvl>
    <w:lvl w:ilvl="3" w:tplc="91642C26" w:tentative="1">
      <w:start w:val="1"/>
      <w:numFmt w:val="decimal"/>
      <w:lvlText w:val="%4."/>
      <w:lvlJc w:val="left"/>
      <w:pPr>
        <w:ind w:left="2880" w:hanging="360"/>
      </w:pPr>
    </w:lvl>
    <w:lvl w:ilvl="4" w:tplc="F6B2C094" w:tentative="1">
      <w:start w:val="1"/>
      <w:numFmt w:val="lowerLetter"/>
      <w:lvlText w:val="%5."/>
      <w:lvlJc w:val="left"/>
      <w:pPr>
        <w:ind w:left="3600" w:hanging="360"/>
      </w:pPr>
    </w:lvl>
    <w:lvl w:ilvl="5" w:tplc="77C8B206" w:tentative="1">
      <w:start w:val="1"/>
      <w:numFmt w:val="lowerRoman"/>
      <w:lvlText w:val="%6."/>
      <w:lvlJc w:val="right"/>
      <w:pPr>
        <w:ind w:left="4320" w:hanging="180"/>
      </w:pPr>
    </w:lvl>
    <w:lvl w:ilvl="6" w:tplc="187A7DEE" w:tentative="1">
      <w:start w:val="1"/>
      <w:numFmt w:val="decimal"/>
      <w:lvlText w:val="%7."/>
      <w:lvlJc w:val="left"/>
      <w:pPr>
        <w:ind w:left="5040" w:hanging="360"/>
      </w:pPr>
    </w:lvl>
    <w:lvl w:ilvl="7" w:tplc="74543C9E" w:tentative="1">
      <w:start w:val="1"/>
      <w:numFmt w:val="lowerLetter"/>
      <w:lvlText w:val="%8."/>
      <w:lvlJc w:val="left"/>
      <w:pPr>
        <w:ind w:left="5760" w:hanging="360"/>
      </w:pPr>
    </w:lvl>
    <w:lvl w:ilvl="8" w:tplc="C6E03A28" w:tentative="1">
      <w:start w:val="1"/>
      <w:numFmt w:val="lowerRoman"/>
      <w:lvlText w:val="%9."/>
      <w:lvlJc w:val="right"/>
      <w:pPr>
        <w:ind w:left="6480" w:hanging="180"/>
      </w:pPr>
    </w:lvl>
  </w:abstractNum>
  <w:abstractNum w:abstractNumId="26" w15:restartNumberingAfterBreak="0">
    <w:nsid w:val="7CB801D7"/>
    <w:multiLevelType w:val="multilevel"/>
    <w:tmpl w:val="6C60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1"/>
  </w:num>
  <w:num w:numId="4">
    <w:abstractNumId w:val="4"/>
  </w:num>
  <w:num w:numId="5">
    <w:abstractNumId w:val="18"/>
  </w:num>
  <w:num w:numId="6">
    <w:abstractNumId w:val="17"/>
  </w:num>
  <w:num w:numId="7">
    <w:abstractNumId w:val="9"/>
  </w:num>
  <w:num w:numId="8">
    <w:abstractNumId w:val="0"/>
  </w:num>
  <w:num w:numId="9">
    <w:abstractNumId w:val="19"/>
  </w:num>
  <w:num w:numId="10">
    <w:abstractNumId w:val="1"/>
  </w:num>
  <w:num w:numId="11">
    <w:abstractNumId w:val="14"/>
  </w:num>
  <w:num w:numId="12">
    <w:abstractNumId w:val="3"/>
  </w:num>
  <w:num w:numId="13">
    <w:abstractNumId w:val="20"/>
  </w:num>
  <w:num w:numId="14">
    <w:abstractNumId w:val="25"/>
  </w:num>
  <w:num w:numId="15">
    <w:abstractNumId w:val="22"/>
  </w:num>
  <w:num w:numId="16">
    <w:abstractNumId w:val="10"/>
  </w:num>
  <w:num w:numId="17">
    <w:abstractNumId w:val="2"/>
  </w:num>
  <w:num w:numId="18">
    <w:abstractNumId w:val="13"/>
  </w:num>
  <w:num w:numId="19">
    <w:abstractNumId w:val="7"/>
  </w:num>
  <w:num w:numId="20">
    <w:abstractNumId w:val="6"/>
  </w:num>
  <w:num w:numId="21">
    <w:abstractNumId w:val="21"/>
  </w:num>
  <w:num w:numId="22">
    <w:abstractNumId w:val="26"/>
  </w:num>
  <w:num w:numId="23">
    <w:abstractNumId w:val="24"/>
  </w:num>
  <w:num w:numId="24">
    <w:abstractNumId w:val="15"/>
  </w:num>
  <w:num w:numId="25">
    <w:abstractNumId w:val="23"/>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F01012"/>
    <w:rsid w:val="00000609"/>
    <w:rsid w:val="00000F88"/>
    <w:rsid w:val="00017124"/>
    <w:rsid w:val="00017EB3"/>
    <w:rsid w:val="00025B98"/>
    <w:rsid w:val="00046C92"/>
    <w:rsid w:val="00052810"/>
    <w:rsid w:val="00077A56"/>
    <w:rsid w:val="00080E93"/>
    <w:rsid w:val="00084350"/>
    <w:rsid w:val="00086B2F"/>
    <w:rsid w:val="00093D04"/>
    <w:rsid w:val="000A1FE9"/>
    <w:rsid w:val="000A5537"/>
    <w:rsid w:val="000B7F60"/>
    <w:rsid w:val="000C27E3"/>
    <w:rsid w:val="000C2BBE"/>
    <w:rsid w:val="000C675D"/>
    <w:rsid w:val="000E5840"/>
    <w:rsid w:val="000F1D4E"/>
    <w:rsid w:val="0010473B"/>
    <w:rsid w:val="0010657B"/>
    <w:rsid w:val="00113353"/>
    <w:rsid w:val="00122901"/>
    <w:rsid w:val="00127BF4"/>
    <w:rsid w:val="0014180B"/>
    <w:rsid w:val="001537A7"/>
    <w:rsid w:val="00161469"/>
    <w:rsid w:val="00176233"/>
    <w:rsid w:val="00182FD3"/>
    <w:rsid w:val="00197145"/>
    <w:rsid w:val="001A064E"/>
    <w:rsid w:val="001B42AC"/>
    <w:rsid w:val="001B7D78"/>
    <w:rsid w:val="001C6151"/>
    <w:rsid w:val="001D1730"/>
    <w:rsid w:val="001E165E"/>
    <w:rsid w:val="001E3A2A"/>
    <w:rsid w:val="001F442C"/>
    <w:rsid w:val="001F5057"/>
    <w:rsid w:val="00205518"/>
    <w:rsid w:val="00211A86"/>
    <w:rsid w:val="00211F88"/>
    <w:rsid w:val="0021305C"/>
    <w:rsid w:val="0022541D"/>
    <w:rsid w:val="002446AC"/>
    <w:rsid w:val="00271BF0"/>
    <w:rsid w:val="002803A7"/>
    <w:rsid w:val="00292CB5"/>
    <w:rsid w:val="002B2DE9"/>
    <w:rsid w:val="002C53ED"/>
    <w:rsid w:val="002C5F54"/>
    <w:rsid w:val="002E1EC2"/>
    <w:rsid w:val="00301EA3"/>
    <w:rsid w:val="00302B92"/>
    <w:rsid w:val="00317CD3"/>
    <w:rsid w:val="003219FF"/>
    <w:rsid w:val="003250BE"/>
    <w:rsid w:val="0033668D"/>
    <w:rsid w:val="00347C1D"/>
    <w:rsid w:val="00385C9A"/>
    <w:rsid w:val="00392509"/>
    <w:rsid w:val="003B7AB5"/>
    <w:rsid w:val="003C7C46"/>
    <w:rsid w:val="003D20CC"/>
    <w:rsid w:val="003D2259"/>
    <w:rsid w:val="003D3C7B"/>
    <w:rsid w:val="003E7961"/>
    <w:rsid w:val="003F1F61"/>
    <w:rsid w:val="0041651E"/>
    <w:rsid w:val="00424EF4"/>
    <w:rsid w:val="004265E3"/>
    <w:rsid w:val="00445169"/>
    <w:rsid w:val="00451205"/>
    <w:rsid w:val="00456DE9"/>
    <w:rsid w:val="0048071C"/>
    <w:rsid w:val="00484F1C"/>
    <w:rsid w:val="00492F5B"/>
    <w:rsid w:val="004A334B"/>
    <w:rsid w:val="004B1E59"/>
    <w:rsid w:val="004C0A34"/>
    <w:rsid w:val="004C1421"/>
    <w:rsid w:val="004D4FFE"/>
    <w:rsid w:val="004D522C"/>
    <w:rsid w:val="004D673F"/>
    <w:rsid w:val="0052468C"/>
    <w:rsid w:val="005306EB"/>
    <w:rsid w:val="00530892"/>
    <w:rsid w:val="00530E9E"/>
    <w:rsid w:val="0055502D"/>
    <w:rsid w:val="005609C6"/>
    <w:rsid w:val="005949C1"/>
    <w:rsid w:val="005A49D0"/>
    <w:rsid w:val="005C56CB"/>
    <w:rsid w:val="005D7AD2"/>
    <w:rsid w:val="005F24A3"/>
    <w:rsid w:val="00605732"/>
    <w:rsid w:val="00605BE1"/>
    <w:rsid w:val="00670D9C"/>
    <w:rsid w:val="0067298E"/>
    <w:rsid w:val="006820A4"/>
    <w:rsid w:val="006A33EF"/>
    <w:rsid w:val="006A4731"/>
    <w:rsid w:val="006B259A"/>
    <w:rsid w:val="006D5B32"/>
    <w:rsid w:val="00704878"/>
    <w:rsid w:val="007145B9"/>
    <w:rsid w:val="00715C07"/>
    <w:rsid w:val="00721FBC"/>
    <w:rsid w:val="007329AF"/>
    <w:rsid w:val="00744D0B"/>
    <w:rsid w:val="0075663B"/>
    <w:rsid w:val="00780A00"/>
    <w:rsid w:val="007A3F85"/>
    <w:rsid w:val="007B6A33"/>
    <w:rsid w:val="007D5F54"/>
    <w:rsid w:val="007E60F7"/>
    <w:rsid w:val="007F03D8"/>
    <w:rsid w:val="007F7355"/>
    <w:rsid w:val="008035FB"/>
    <w:rsid w:val="00810F82"/>
    <w:rsid w:val="008231B7"/>
    <w:rsid w:val="00837209"/>
    <w:rsid w:val="00850BFE"/>
    <w:rsid w:val="00863E9F"/>
    <w:rsid w:val="00867F41"/>
    <w:rsid w:val="00871044"/>
    <w:rsid w:val="00876C25"/>
    <w:rsid w:val="00877535"/>
    <w:rsid w:val="00895CE3"/>
    <w:rsid w:val="008A17F4"/>
    <w:rsid w:val="008A4F2F"/>
    <w:rsid w:val="008B1BB7"/>
    <w:rsid w:val="008B52E4"/>
    <w:rsid w:val="008B61DE"/>
    <w:rsid w:val="008C3273"/>
    <w:rsid w:val="008C3864"/>
    <w:rsid w:val="008C6B6E"/>
    <w:rsid w:val="0090182B"/>
    <w:rsid w:val="00915600"/>
    <w:rsid w:val="00922DB9"/>
    <w:rsid w:val="009336DC"/>
    <w:rsid w:val="00937D52"/>
    <w:rsid w:val="00950F7E"/>
    <w:rsid w:val="00953EA2"/>
    <w:rsid w:val="00956B61"/>
    <w:rsid w:val="009577B1"/>
    <w:rsid w:val="0099460F"/>
    <w:rsid w:val="009A4C9A"/>
    <w:rsid w:val="009B53A0"/>
    <w:rsid w:val="009B5DA4"/>
    <w:rsid w:val="009C514A"/>
    <w:rsid w:val="009C5DF2"/>
    <w:rsid w:val="009D0E67"/>
    <w:rsid w:val="009E3F3B"/>
    <w:rsid w:val="00A05B8C"/>
    <w:rsid w:val="00A062FB"/>
    <w:rsid w:val="00A150D9"/>
    <w:rsid w:val="00A22065"/>
    <w:rsid w:val="00A240B3"/>
    <w:rsid w:val="00A4250C"/>
    <w:rsid w:val="00A53CDC"/>
    <w:rsid w:val="00A552D3"/>
    <w:rsid w:val="00A72041"/>
    <w:rsid w:val="00A75B99"/>
    <w:rsid w:val="00AB0D8A"/>
    <w:rsid w:val="00AB7553"/>
    <w:rsid w:val="00AB79A2"/>
    <w:rsid w:val="00AC14AD"/>
    <w:rsid w:val="00AF6D6F"/>
    <w:rsid w:val="00B0041C"/>
    <w:rsid w:val="00B21FD6"/>
    <w:rsid w:val="00B477EA"/>
    <w:rsid w:val="00B774B4"/>
    <w:rsid w:val="00B81AE0"/>
    <w:rsid w:val="00B95CC1"/>
    <w:rsid w:val="00BB401E"/>
    <w:rsid w:val="00BB6279"/>
    <w:rsid w:val="00BB7A90"/>
    <w:rsid w:val="00BC0098"/>
    <w:rsid w:val="00BD1140"/>
    <w:rsid w:val="00BD1BB7"/>
    <w:rsid w:val="00BD79F1"/>
    <w:rsid w:val="00BF4043"/>
    <w:rsid w:val="00C05565"/>
    <w:rsid w:val="00C125CD"/>
    <w:rsid w:val="00C17C7B"/>
    <w:rsid w:val="00C246E1"/>
    <w:rsid w:val="00C271E0"/>
    <w:rsid w:val="00C55BFD"/>
    <w:rsid w:val="00C6359D"/>
    <w:rsid w:val="00C70E47"/>
    <w:rsid w:val="00C73E7D"/>
    <w:rsid w:val="00C77045"/>
    <w:rsid w:val="00C8179C"/>
    <w:rsid w:val="00C831B3"/>
    <w:rsid w:val="00CA4562"/>
    <w:rsid w:val="00CB24EC"/>
    <w:rsid w:val="00CC398C"/>
    <w:rsid w:val="00CF3651"/>
    <w:rsid w:val="00CF6111"/>
    <w:rsid w:val="00D17F6A"/>
    <w:rsid w:val="00D247AC"/>
    <w:rsid w:val="00D26C88"/>
    <w:rsid w:val="00D32D92"/>
    <w:rsid w:val="00D360EB"/>
    <w:rsid w:val="00D50F99"/>
    <w:rsid w:val="00D555A4"/>
    <w:rsid w:val="00D61E19"/>
    <w:rsid w:val="00D65779"/>
    <w:rsid w:val="00D71B43"/>
    <w:rsid w:val="00D80750"/>
    <w:rsid w:val="00D905A1"/>
    <w:rsid w:val="00DB4441"/>
    <w:rsid w:val="00DC28F0"/>
    <w:rsid w:val="00DC3236"/>
    <w:rsid w:val="00DC556D"/>
    <w:rsid w:val="00DE2AAD"/>
    <w:rsid w:val="00DE5691"/>
    <w:rsid w:val="00DE63B8"/>
    <w:rsid w:val="00DE700B"/>
    <w:rsid w:val="00DF0513"/>
    <w:rsid w:val="00E04000"/>
    <w:rsid w:val="00E0748A"/>
    <w:rsid w:val="00E0766D"/>
    <w:rsid w:val="00E221F5"/>
    <w:rsid w:val="00E56A94"/>
    <w:rsid w:val="00E84B3F"/>
    <w:rsid w:val="00E956BF"/>
    <w:rsid w:val="00EA5D52"/>
    <w:rsid w:val="00EA79AB"/>
    <w:rsid w:val="00EB7BCE"/>
    <w:rsid w:val="00EC4C5D"/>
    <w:rsid w:val="00EC7B9F"/>
    <w:rsid w:val="00EE57F7"/>
    <w:rsid w:val="00EE6B8C"/>
    <w:rsid w:val="00EF716E"/>
    <w:rsid w:val="00F01012"/>
    <w:rsid w:val="00F10A88"/>
    <w:rsid w:val="00F233DE"/>
    <w:rsid w:val="00F23E3B"/>
    <w:rsid w:val="00F26C65"/>
    <w:rsid w:val="00F332C2"/>
    <w:rsid w:val="00F36307"/>
    <w:rsid w:val="00F40A98"/>
    <w:rsid w:val="00F421B9"/>
    <w:rsid w:val="00F4255A"/>
    <w:rsid w:val="00F666B9"/>
    <w:rsid w:val="00F71B06"/>
    <w:rsid w:val="00F75230"/>
    <w:rsid w:val="00F978A9"/>
    <w:rsid w:val="00FB3D05"/>
    <w:rsid w:val="00FD6160"/>
    <w:rsid w:val="00FE244A"/>
    <w:rsid w:val="00FE6B3B"/>
    <w:rsid w:val="00FF7D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EA27"/>
  <w15:docId w15:val="{73506195-635C-45C7-9F0A-7A34C8B0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041"/>
  </w:style>
  <w:style w:type="paragraph" w:styleId="Heading1">
    <w:name w:val="heading 1"/>
    <w:basedOn w:val="Normal"/>
    <w:link w:val="Heading1Char"/>
    <w:uiPriority w:val="9"/>
    <w:qFormat/>
    <w:rsid w:val="00F71B06"/>
    <w:pPr>
      <w:spacing w:before="240" w:after="150" w:line="495" w:lineRule="atLeast"/>
      <w:outlineLvl w:val="0"/>
    </w:pPr>
    <w:rPr>
      <w:rFonts w:ascii="Arial" w:eastAsia="Times New Roman" w:hAnsi="Arial" w:cs="Arial"/>
      <w:b/>
      <w:bCs/>
      <w:color w:val="333333"/>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noindent">
    <w:name w:val="Body copy (no indent)"/>
    <w:basedOn w:val="Normal"/>
    <w:rsid w:val="00F01012"/>
    <w:pPr>
      <w:widowControl w:val="0"/>
      <w:suppressAutoHyphens/>
      <w:autoSpaceDE w:val="0"/>
      <w:autoSpaceDN w:val="0"/>
      <w:adjustRightInd w:val="0"/>
      <w:spacing w:after="280" w:line="320" w:lineRule="atLeast"/>
      <w:textAlignment w:val="center"/>
    </w:pPr>
    <w:rPr>
      <w:rFonts w:ascii="FrutigerLTStd-Light" w:eastAsia="Times New Roman" w:hAnsi="FrutigerLTStd-Light" w:cs="FrutigerLTStd-Light"/>
      <w:color w:val="000000"/>
      <w:sz w:val="24"/>
      <w:szCs w:val="24"/>
    </w:rPr>
  </w:style>
  <w:style w:type="character" w:styleId="Hyperlink">
    <w:name w:val="Hyperlink"/>
    <w:uiPriority w:val="99"/>
    <w:rsid w:val="00385C9A"/>
    <w:rPr>
      <w:color w:val="0000FF"/>
      <w:u w:val="single"/>
    </w:rPr>
  </w:style>
  <w:style w:type="character" w:styleId="Emphasis">
    <w:name w:val="Emphasis"/>
    <w:uiPriority w:val="20"/>
    <w:qFormat/>
    <w:rsid w:val="00385C9A"/>
    <w:rPr>
      <w:i/>
      <w:iCs/>
    </w:rPr>
  </w:style>
  <w:style w:type="paragraph" w:styleId="NormalWeb">
    <w:name w:val="Normal (Web)"/>
    <w:basedOn w:val="Normal"/>
    <w:uiPriority w:val="99"/>
    <w:unhideWhenUsed/>
    <w:rsid w:val="007145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NHF List Paragraph,NHF Bullet Paragraph,Bullet Paragraph"/>
    <w:basedOn w:val="Normal"/>
    <w:uiPriority w:val="34"/>
    <w:qFormat/>
    <w:rsid w:val="007145B9"/>
    <w:pPr>
      <w:ind w:left="720"/>
      <w:contextualSpacing/>
    </w:pPr>
  </w:style>
  <w:style w:type="paragraph" w:customStyle="1" w:styleId="Default">
    <w:name w:val="Default"/>
    <w:rsid w:val="001A064E"/>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4265E3"/>
    <w:pPr>
      <w:spacing w:line="323" w:lineRule="atLeast"/>
    </w:pPr>
    <w:rPr>
      <w:color w:val="auto"/>
    </w:rPr>
  </w:style>
  <w:style w:type="character" w:customStyle="1" w:styleId="Heading1Char">
    <w:name w:val="Heading 1 Char"/>
    <w:basedOn w:val="DefaultParagraphFont"/>
    <w:link w:val="Heading1"/>
    <w:uiPriority w:val="9"/>
    <w:rsid w:val="00F71B06"/>
    <w:rPr>
      <w:rFonts w:ascii="Arial" w:eastAsia="Times New Roman" w:hAnsi="Arial" w:cs="Arial"/>
      <w:b/>
      <w:bCs/>
      <w:color w:val="333333"/>
      <w:kern w:val="36"/>
      <w:sz w:val="42"/>
      <w:szCs w:val="42"/>
    </w:rPr>
  </w:style>
  <w:style w:type="paragraph" w:styleId="BalloonText">
    <w:name w:val="Balloon Text"/>
    <w:basedOn w:val="Normal"/>
    <w:link w:val="BalloonTextChar"/>
    <w:uiPriority w:val="99"/>
    <w:semiHidden/>
    <w:unhideWhenUsed/>
    <w:rsid w:val="00F97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A9"/>
    <w:rPr>
      <w:rFonts w:ascii="Tahoma" w:hAnsi="Tahoma" w:cs="Tahoma"/>
      <w:sz w:val="16"/>
      <w:szCs w:val="16"/>
    </w:rPr>
  </w:style>
  <w:style w:type="paragraph" w:customStyle="1" w:styleId="Pa0">
    <w:name w:val="Pa0"/>
    <w:basedOn w:val="Default"/>
    <w:next w:val="Default"/>
    <w:uiPriority w:val="99"/>
    <w:rsid w:val="009C5DF2"/>
    <w:pPr>
      <w:spacing w:line="241" w:lineRule="atLeast"/>
    </w:pPr>
    <w:rPr>
      <w:rFonts w:ascii="HelveticaNeueLT Std Lt" w:hAnsi="HelveticaNeueLT Std L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39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consultations/developer-contributions-reform-technical-consul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richard.inman@sparse.gov.uk</cp:lastModifiedBy>
  <cp:revision>2</cp:revision>
  <cp:lastPrinted>2012-10-02T09:33:00Z</cp:lastPrinted>
  <dcterms:created xsi:type="dcterms:W3CDTF">2019-01-08T09:52:00Z</dcterms:created>
  <dcterms:modified xsi:type="dcterms:W3CDTF">2019-01-08T09:52:00Z</dcterms:modified>
</cp:coreProperties>
</file>