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6BD9">
      <w:r w:rsidRPr="00026BD9">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4.8pt;margin-top:0;width:299.8pt;height:117pt;z-index:251660288;mso-position-horizontal:right;mso-position-horizontal-relative:margin;mso-position-vertical:top;mso-position-vertical-relative:margin;mso-width-relative:margin;mso-height-relative:margin" stroked="f">
            <v:textbox>
              <w:txbxContent>
                <w:p w:rsidR="00B64853" w:rsidRPr="00DB0C84" w:rsidRDefault="00B64853" w:rsidP="004D3814">
                  <w:pPr>
                    <w:jc w:val="right"/>
                    <w:rPr>
                      <w:rFonts w:ascii="Segoe UI" w:hAnsi="Segoe UI" w:cs="Segoe UI"/>
                      <w:b/>
                      <w:sz w:val="72"/>
                      <w:szCs w:val="72"/>
                      <w:u w:val="single"/>
                    </w:rPr>
                  </w:pPr>
                  <w:r>
                    <w:rPr>
                      <w:rFonts w:ascii="Segoe UI" w:hAnsi="Segoe UI" w:cs="Segoe UI"/>
                      <w:b/>
                      <w:sz w:val="72"/>
                      <w:szCs w:val="72"/>
                      <w:u w:val="single"/>
                    </w:rPr>
                    <w:t>Ashford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026BD9"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026BD9"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026BD9"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026BD9" w:rsidP="00034AE0">
      <w:pPr>
        <w:jc w:val="center"/>
        <w:rPr>
          <w:rFonts w:ascii="Segoe UI" w:hAnsi="Segoe UI" w:cs="Segoe UI"/>
        </w:rPr>
      </w:pPr>
      <w:hyperlink w:anchor="public" w:history="1">
        <w:r w:rsidR="00AA4EAF" w:rsidRPr="00360FD9">
          <w:rPr>
            <w:rStyle w:val="Hyperlink"/>
            <w:rFonts w:ascii="Segoe UI" w:hAnsi="Segoe UI" w:cs="Segoe UI"/>
          </w:rPr>
          <w:t>Private/public sector emp</w:t>
        </w:r>
        <w:r w:rsidR="00AA4EAF" w:rsidRPr="00360FD9">
          <w:rPr>
            <w:rStyle w:val="Hyperlink"/>
            <w:rFonts w:ascii="Segoe UI" w:hAnsi="Segoe UI" w:cs="Segoe UI"/>
          </w:rPr>
          <w:t>l</w:t>
        </w:r>
        <w:r w:rsidR="00AA4EAF" w:rsidRPr="00360FD9">
          <w:rPr>
            <w:rStyle w:val="Hyperlink"/>
            <w:rFonts w:ascii="Segoe UI" w:hAnsi="Segoe UI" w:cs="Segoe UI"/>
          </w:rPr>
          <w:t>oyment</w:t>
        </w:r>
      </w:hyperlink>
    </w:p>
    <w:p w:rsidR="00AA4EAF" w:rsidRDefault="00026BD9"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026BD9"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026BD9" w:rsidP="00034AE0">
      <w:pPr>
        <w:jc w:val="center"/>
        <w:rPr>
          <w:rFonts w:ascii="Segoe UI" w:hAnsi="Segoe UI" w:cs="Segoe UI"/>
        </w:rPr>
      </w:pPr>
      <w:hyperlink w:anchor="claimant" w:history="1">
        <w:r w:rsidR="000D4A2C">
          <w:rPr>
            <w:rStyle w:val="Hyperlink"/>
            <w:rFonts w:ascii="Segoe UI" w:hAnsi="Segoe UI" w:cs="Segoe UI"/>
          </w:rPr>
          <w:t>Claim</w:t>
        </w:r>
        <w:r w:rsidR="000D4A2C">
          <w:rPr>
            <w:rStyle w:val="Hyperlink"/>
            <w:rFonts w:ascii="Segoe UI" w:hAnsi="Segoe UI" w:cs="Segoe UI"/>
          </w:rPr>
          <w:t>a</w:t>
        </w:r>
        <w:r w:rsidR="000D4A2C">
          <w:rPr>
            <w:rStyle w:val="Hyperlink"/>
            <w:rFonts w:ascii="Segoe UI" w:hAnsi="Segoe UI" w:cs="Segoe UI"/>
          </w:rPr>
          <w:t>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EC7330">
        <w:rPr>
          <w:rFonts w:ascii="Segoe UI" w:hAnsi="Segoe UI" w:cs="Segoe UI"/>
          <w:u w:val="single"/>
        </w:rPr>
        <w:t>A</w:t>
      </w:r>
      <w:r w:rsidR="00B64853">
        <w:rPr>
          <w:rFonts w:ascii="Segoe UI" w:hAnsi="Segoe UI" w:cs="Segoe UI"/>
          <w:u w:val="single"/>
        </w:rPr>
        <w:t>shford</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The top three</w:t>
      </w:r>
      <w:r w:rsidR="00EE29BA">
        <w:rPr>
          <w:rFonts w:ascii="Segoe UI" w:hAnsi="Segoe UI" w:cs="Segoe UI"/>
        </w:rPr>
        <w:t xml:space="preserve"> sectors for employment of full time workers in </w:t>
      </w:r>
      <w:r>
        <w:rPr>
          <w:rFonts w:ascii="Segoe UI" w:hAnsi="Segoe UI" w:cs="Segoe UI"/>
        </w:rPr>
        <w:t>A</w:t>
      </w:r>
      <w:r w:rsidR="0070268E">
        <w:rPr>
          <w:rFonts w:ascii="Segoe UI" w:hAnsi="Segoe UI" w:cs="Segoe UI"/>
        </w:rPr>
        <w:t>shford</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were </w:t>
      </w:r>
      <w:r w:rsidR="0070268E">
        <w:rPr>
          <w:rFonts w:ascii="Segoe UI" w:hAnsi="Segoe UI" w:cs="Segoe UI"/>
        </w:rPr>
        <w:t>Health</w:t>
      </w:r>
      <w:r w:rsidR="002A4CE5">
        <w:rPr>
          <w:rFonts w:ascii="Segoe UI" w:hAnsi="Segoe UI" w:cs="Segoe UI"/>
        </w:rPr>
        <w:t xml:space="preserve"> at </w:t>
      </w:r>
      <w:r w:rsidR="0070268E">
        <w:rPr>
          <w:rFonts w:ascii="Segoe UI" w:hAnsi="Segoe UI" w:cs="Segoe UI"/>
        </w:rPr>
        <w:t>13.5</w:t>
      </w:r>
      <w:r>
        <w:rPr>
          <w:rFonts w:ascii="Segoe UI" w:hAnsi="Segoe UI" w:cs="Segoe UI"/>
        </w:rPr>
        <w:t>%</w:t>
      </w:r>
      <w:r w:rsidR="002A4CE5">
        <w:rPr>
          <w:rFonts w:ascii="Segoe UI" w:hAnsi="Segoe UI" w:cs="Segoe UI"/>
        </w:rPr>
        <w:t xml:space="preserve">, </w:t>
      </w:r>
      <w:r w:rsidR="0070268E">
        <w:rPr>
          <w:rFonts w:ascii="Segoe UI" w:hAnsi="Segoe UI" w:cs="Segoe UI"/>
        </w:rPr>
        <w:t>Manufacturing</w:t>
      </w:r>
      <w:r w:rsidR="002A4CE5">
        <w:rPr>
          <w:rFonts w:ascii="Segoe UI" w:hAnsi="Segoe UI" w:cs="Segoe UI"/>
        </w:rPr>
        <w:t xml:space="preserve"> at </w:t>
      </w:r>
      <w:r w:rsidR="0070268E">
        <w:rPr>
          <w:rFonts w:ascii="Segoe UI" w:hAnsi="Segoe UI" w:cs="Segoe UI"/>
        </w:rPr>
        <w:t>12.2</w:t>
      </w:r>
      <w:r w:rsidR="002A4CE5">
        <w:rPr>
          <w:rFonts w:ascii="Segoe UI" w:hAnsi="Segoe UI" w:cs="Segoe UI"/>
        </w:rPr>
        <w:t>%</w:t>
      </w:r>
      <w:r w:rsidR="0020423D">
        <w:rPr>
          <w:rFonts w:ascii="Segoe UI" w:hAnsi="Segoe UI" w:cs="Segoe UI"/>
        </w:rPr>
        <w:t xml:space="preserve">, and </w:t>
      </w:r>
      <w:r w:rsidR="0070268E">
        <w:rPr>
          <w:rFonts w:ascii="Segoe UI" w:hAnsi="Segoe UI" w:cs="Segoe UI"/>
        </w:rPr>
        <w:t>Wholesale</w:t>
      </w:r>
      <w:r w:rsidR="002A4CE5">
        <w:rPr>
          <w:rFonts w:ascii="Segoe UI" w:hAnsi="Segoe UI" w:cs="Segoe UI"/>
        </w:rPr>
        <w:t xml:space="preserve"> at </w:t>
      </w:r>
      <w:r w:rsidR="0020423D">
        <w:rPr>
          <w:rFonts w:ascii="Segoe UI" w:hAnsi="Segoe UI" w:cs="Segoe UI"/>
        </w:rPr>
        <w:t>9</w:t>
      </w:r>
      <w:r w:rsidR="0070268E">
        <w:rPr>
          <w:rFonts w:ascii="Segoe UI" w:hAnsi="Segoe UI" w:cs="Segoe UI"/>
        </w:rPr>
        <w:t>.5</w:t>
      </w:r>
      <w:r>
        <w:rPr>
          <w:rFonts w:ascii="Segoe UI" w:hAnsi="Segoe UI" w:cs="Segoe UI"/>
        </w:rPr>
        <w:t>%</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29BA">
        <w:rPr>
          <w:rFonts w:ascii="Segoe UI" w:hAnsi="Segoe UI" w:cs="Segoe UI"/>
        </w:rPr>
        <w:t xml:space="preserve">, the top three sectors for employment of part time workers in </w:t>
      </w:r>
      <w:r w:rsidR="00EC7330">
        <w:rPr>
          <w:rFonts w:ascii="Segoe UI" w:hAnsi="Segoe UI" w:cs="Segoe UI"/>
        </w:rPr>
        <w:t>A</w:t>
      </w:r>
      <w:r>
        <w:rPr>
          <w:rFonts w:ascii="Segoe UI" w:hAnsi="Segoe UI" w:cs="Segoe UI"/>
        </w:rPr>
        <w:t>shford</w:t>
      </w:r>
      <w:r w:rsidR="00EE29BA">
        <w:rPr>
          <w:rFonts w:ascii="Segoe UI" w:hAnsi="Segoe UI" w:cs="Segoe UI"/>
        </w:rPr>
        <w:t xml:space="preserve"> were </w:t>
      </w:r>
      <w:r w:rsidR="004914CA">
        <w:rPr>
          <w:rFonts w:ascii="Segoe UI" w:hAnsi="Segoe UI" w:cs="Segoe UI"/>
        </w:rPr>
        <w:t xml:space="preserve">Retail, </w:t>
      </w:r>
      <w:r w:rsidR="00EE29BA">
        <w:rPr>
          <w:rFonts w:ascii="Segoe UI" w:hAnsi="Segoe UI" w:cs="Segoe UI"/>
        </w:rPr>
        <w:t>Health</w:t>
      </w:r>
      <w:r w:rsidR="0020423D">
        <w:rPr>
          <w:rFonts w:ascii="Segoe UI" w:hAnsi="Segoe UI" w:cs="Segoe UI"/>
        </w:rPr>
        <w:t xml:space="preserve">, and </w:t>
      </w:r>
      <w:r>
        <w:rPr>
          <w:rFonts w:ascii="Segoe UI" w:hAnsi="Segoe UI" w:cs="Segoe UI"/>
        </w:rPr>
        <w:t>Business Administration &amp; Support</w:t>
      </w:r>
      <w:r w:rsidR="0020423D">
        <w:rPr>
          <w:rFonts w:ascii="Segoe UI" w:hAnsi="Segoe UI" w:cs="Segoe UI"/>
        </w:rPr>
        <w:t xml:space="preserve"> Services</w:t>
      </w:r>
      <w:r w:rsidR="00EE29BA">
        <w:rPr>
          <w:rFonts w:ascii="Segoe UI" w:hAnsi="Segoe UI" w:cs="Segoe UI"/>
        </w:rPr>
        <w:t xml:space="preserve"> </w:t>
      </w:r>
      <w:r w:rsidR="004914CA">
        <w:rPr>
          <w:rFonts w:ascii="Segoe UI" w:hAnsi="Segoe UI" w:cs="Segoe UI"/>
        </w:rPr>
        <w:t>at</w:t>
      </w:r>
      <w:r w:rsidR="00EE29BA">
        <w:rPr>
          <w:rFonts w:ascii="Segoe UI" w:hAnsi="Segoe UI" w:cs="Segoe UI"/>
        </w:rPr>
        <w:t xml:space="preserve"> </w:t>
      </w:r>
      <w:r>
        <w:rPr>
          <w:rFonts w:ascii="Segoe UI" w:hAnsi="Segoe UI" w:cs="Segoe UI"/>
        </w:rPr>
        <w:t>21.1%, 18.4</w:t>
      </w:r>
      <w:r w:rsidR="0020423D">
        <w:rPr>
          <w:rFonts w:ascii="Segoe UI" w:hAnsi="Segoe UI" w:cs="Segoe UI"/>
        </w:rPr>
        <w:t xml:space="preserve">% and </w:t>
      </w:r>
      <w:r w:rsidR="00EE29BA">
        <w:rPr>
          <w:rFonts w:ascii="Segoe UI" w:hAnsi="Segoe UI" w:cs="Segoe UI"/>
        </w:rPr>
        <w:t>1</w:t>
      </w:r>
      <w:r>
        <w:rPr>
          <w:rFonts w:ascii="Segoe UI" w:hAnsi="Segoe UI" w:cs="Segoe UI"/>
        </w:rPr>
        <w:t>3.2</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20423D">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4914CA">
        <w:rPr>
          <w:rFonts w:ascii="Segoe UI" w:hAnsi="Segoe UI" w:cs="Segoe UI"/>
          <w:u w:val="single"/>
        </w:rPr>
        <w:t>A</w:t>
      </w:r>
      <w:r w:rsidR="0070268E">
        <w:rPr>
          <w:rFonts w:ascii="Segoe UI" w:hAnsi="Segoe UI" w:cs="Segoe UI"/>
          <w:u w:val="single"/>
        </w:rPr>
        <w:t>shford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1971A6">
        <w:rPr>
          <w:rFonts w:ascii="Segoe UI" w:hAnsi="Segoe UI" w:cs="Segoe UI"/>
        </w:rPr>
        <w:t>A</w:t>
      </w:r>
      <w:r w:rsidR="0070268E">
        <w:rPr>
          <w:rFonts w:ascii="Segoe UI" w:hAnsi="Segoe UI" w:cs="Segoe UI"/>
        </w:rPr>
        <w:t>shford</w:t>
      </w:r>
      <w:r>
        <w:rPr>
          <w:rFonts w:ascii="Segoe UI" w:hAnsi="Segoe UI" w:cs="Segoe UI"/>
        </w:rPr>
        <w:t xml:space="preserve"> is </w:t>
      </w:r>
      <w:r w:rsidR="0070268E">
        <w:rPr>
          <w:rFonts w:ascii="Segoe UI" w:hAnsi="Segoe UI" w:cs="Segoe UI"/>
        </w:rPr>
        <w:t>Professional, Scientific &amp; Technical</w:t>
      </w:r>
      <w:r w:rsidR="009264D1">
        <w:rPr>
          <w:rFonts w:ascii="Segoe UI" w:hAnsi="Segoe UI" w:cs="Segoe UI"/>
        </w:rPr>
        <w:t xml:space="preserve">, with </w:t>
      </w:r>
      <w:r w:rsidR="0070268E">
        <w:rPr>
          <w:rFonts w:ascii="Segoe UI" w:hAnsi="Segoe UI" w:cs="Segoe UI"/>
        </w:rPr>
        <w:t>15.7</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99362A">
        <w:rPr>
          <w:rFonts w:ascii="Segoe UI" w:hAnsi="Segoe UI" w:cs="Segoe UI"/>
        </w:rPr>
        <w:t xml:space="preserve">Construction </w:t>
      </w:r>
      <w:r>
        <w:rPr>
          <w:rFonts w:ascii="Segoe UI" w:hAnsi="Segoe UI" w:cs="Segoe UI"/>
        </w:rPr>
        <w:t xml:space="preserve">sector with </w:t>
      </w:r>
      <w:r w:rsidR="0070268E">
        <w:rPr>
          <w:rFonts w:ascii="Segoe UI" w:hAnsi="Segoe UI" w:cs="Segoe UI"/>
        </w:rPr>
        <w:t>14.0</w:t>
      </w:r>
      <w:r>
        <w:rPr>
          <w:rFonts w:ascii="Segoe UI" w:hAnsi="Segoe UI" w:cs="Segoe UI"/>
        </w:rPr>
        <w:t xml:space="preserve">% and third was </w:t>
      </w:r>
      <w:r w:rsidR="0070268E">
        <w:rPr>
          <w:rFonts w:ascii="Segoe UI" w:hAnsi="Segoe UI" w:cs="Segoe UI"/>
        </w:rPr>
        <w:t>Business Administration &amp; Support Services</w:t>
      </w:r>
      <w:r>
        <w:rPr>
          <w:rFonts w:ascii="Segoe UI" w:hAnsi="Segoe UI" w:cs="Segoe UI"/>
        </w:rPr>
        <w:t xml:space="preserve"> with </w:t>
      </w:r>
      <w:r w:rsidR="0070268E">
        <w:rPr>
          <w:rFonts w:ascii="Segoe UI" w:hAnsi="Segoe UI" w:cs="Segoe UI"/>
        </w:rPr>
        <w:t>8.6</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D31D9"/>
    <w:rsid w:val="000D37D1"/>
    <w:rsid w:val="000D4A2C"/>
    <w:rsid w:val="000F289B"/>
    <w:rsid w:val="001134A4"/>
    <w:rsid w:val="001253AA"/>
    <w:rsid w:val="00137983"/>
    <w:rsid w:val="001439D5"/>
    <w:rsid w:val="00153631"/>
    <w:rsid w:val="00163203"/>
    <w:rsid w:val="00173523"/>
    <w:rsid w:val="0019092A"/>
    <w:rsid w:val="001971A6"/>
    <w:rsid w:val="001A5750"/>
    <w:rsid w:val="001C4E49"/>
    <w:rsid w:val="0020423D"/>
    <w:rsid w:val="00230CF6"/>
    <w:rsid w:val="002408BD"/>
    <w:rsid w:val="002555C8"/>
    <w:rsid w:val="00256D31"/>
    <w:rsid w:val="00257FBA"/>
    <w:rsid w:val="00274ED9"/>
    <w:rsid w:val="002A4CE5"/>
    <w:rsid w:val="002A7F64"/>
    <w:rsid w:val="002D62CB"/>
    <w:rsid w:val="002F3154"/>
    <w:rsid w:val="00360FD9"/>
    <w:rsid w:val="0037667B"/>
    <w:rsid w:val="00383CA1"/>
    <w:rsid w:val="003A5CAB"/>
    <w:rsid w:val="003B5117"/>
    <w:rsid w:val="003B6278"/>
    <w:rsid w:val="003C40D8"/>
    <w:rsid w:val="003D18FF"/>
    <w:rsid w:val="003D49EB"/>
    <w:rsid w:val="003E0C93"/>
    <w:rsid w:val="003F5C2F"/>
    <w:rsid w:val="004033DF"/>
    <w:rsid w:val="00407185"/>
    <w:rsid w:val="00435E0A"/>
    <w:rsid w:val="00465F15"/>
    <w:rsid w:val="00475274"/>
    <w:rsid w:val="0048276C"/>
    <w:rsid w:val="00485212"/>
    <w:rsid w:val="004914CA"/>
    <w:rsid w:val="004972B9"/>
    <w:rsid w:val="004C2A1C"/>
    <w:rsid w:val="004D1A19"/>
    <w:rsid w:val="004D3814"/>
    <w:rsid w:val="004E6628"/>
    <w:rsid w:val="00500FD5"/>
    <w:rsid w:val="00545A25"/>
    <w:rsid w:val="0054613A"/>
    <w:rsid w:val="00555F9F"/>
    <w:rsid w:val="00557B7F"/>
    <w:rsid w:val="00566824"/>
    <w:rsid w:val="00575E1E"/>
    <w:rsid w:val="00587D4E"/>
    <w:rsid w:val="00600EBE"/>
    <w:rsid w:val="00604F05"/>
    <w:rsid w:val="00621EF4"/>
    <w:rsid w:val="00673908"/>
    <w:rsid w:val="00675025"/>
    <w:rsid w:val="00692E85"/>
    <w:rsid w:val="006931D7"/>
    <w:rsid w:val="006A3967"/>
    <w:rsid w:val="006A58A6"/>
    <w:rsid w:val="006D33F0"/>
    <w:rsid w:val="006E6F7B"/>
    <w:rsid w:val="006F4FD3"/>
    <w:rsid w:val="0070268E"/>
    <w:rsid w:val="007275C8"/>
    <w:rsid w:val="0074160A"/>
    <w:rsid w:val="00754898"/>
    <w:rsid w:val="00784B29"/>
    <w:rsid w:val="00786635"/>
    <w:rsid w:val="007A509C"/>
    <w:rsid w:val="007E65D3"/>
    <w:rsid w:val="0080737E"/>
    <w:rsid w:val="0081487D"/>
    <w:rsid w:val="008211F5"/>
    <w:rsid w:val="00867BF8"/>
    <w:rsid w:val="00884EF2"/>
    <w:rsid w:val="00886701"/>
    <w:rsid w:val="008C2804"/>
    <w:rsid w:val="008D39B8"/>
    <w:rsid w:val="008D66C0"/>
    <w:rsid w:val="008F3CBB"/>
    <w:rsid w:val="009121EB"/>
    <w:rsid w:val="00920E1B"/>
    <w:rsid w:val="009264D1"/>
    <w:rsid w:val="009528EC"/>
    <w:rsid w:val="00974D4B"/>
    <w:rsid w:val="009902B8"/>
    <w:rsid w:val="00990CEF"/>
    <w:rsid w:val="0099362A"/>
    <w:rsid w:val="009B5673"/>
    <w:rsid w:val="009E309F"/>
    <w:rsid w:val="00A46831"/>
    <w:rsid w:val="00A57F92"/>
    <w:rsid w:val="00A61248"/>
    <w:rsid w:val="00A628A4"/>
    <w:rsid w:val="00AA4EAF"/>
    <w:rsid w:val="00AC38CD"/>
    <w:rsid w:val="00AC3D7B"/>
    <w:rsid w:val="00AE00CB"/>
    <w:rsid w:val="00AE3362"/>
    <w:rsid w:val="00AE5DBC"/>
    <w:rsid w:val="00B04094"/>
    <w:rsid w:val="00B26109"/>
    <w:rsid w:val="00B30792"/>
    <w:rsid w:val="00B53700"/>
    <w:rsid w:val="00B64853"/>
    <w:rsid w:val="00B66EC4"/>
    <w:rsid w:val="00B82315"/>
    <w:rsid w:val="00BA29A5"/>
    <w:rsid w:val="00BC2E51"/>
    <w:rsid w:val="00BD2541"/>
    <w:rsid w:val="00BE5674"/>
    <w:rsid w:val="00BF0BE9"/>
    <w:rsid w:val="00BF44B3"/>
    <w:rsid w:val="00C26302"/>
    <w:rsid w:val="00C27833"/>
    <w:rsid w:val="00C35A9C"/>
    <w:rsid w:val="00C468CE"/>
    <w:rsid w:val="00C60E60"/>
    <w:rsid w:val="00C66719"/>
    <w:rsid w:val="00CA077C"/>
    <w:rsid w:val="00CD2F9D"/>
    <w:rsid w:val="00CD3D82"/>
    <w:rsid w:val="00D170C3"/>
    <w:rsid w:val="00D71B60"/>
    <w:rsid w:val="00DB0C84"/>
    <w:rsid w:val="00DC0F18"/>
    <w:rsid w:val="00DF6BA9"/>
    <w:rsid w:val="00E109CF"/>
    <w:rsid w:val="00E10C8C"/>
    <w:rsid w:val="00E17957"/>
    <w:rsid w:val="00E33D6C"/>
    <w:rsid w:val="00E47998"/>
    <w:rsid w:val="00EC7330"/>
    <w:rsid w:val="00EE29BA"/>
    <w:rsid w:val="00EE339D"/>
    <w:rsid w:val="00EF5EFE"/>
    <w:rsid w:val="00F06BCB"/>
    <w:rsid w:val="00F06E52"/>
    <w:rsid w:val="00F311B7"/>
    <w:rsid w:val="00F624C0"/>
    <w:rsid w:val="00FB0963"/>
    <w:rsid w:val="00FE08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Ashford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62.882439136345177</c:v>
                </c:pt>
                <c:pt idx="2">
                  <c:v>62.750096022905829</c:v>
                </c:pt>
                <c:pt idx="3">
                  <c:v>62.597023181841756</c:v>
                </c:pt>
                <c:pt idx="4">
                  <c:v>62.347510151741822</c:v>
                </c:pt>
                <c:pt idx="5">
                  <c:v>62.185718508508934</c:v>
                </c:pt>
                <c:pt idx="6">
                  <c:v>61.541855354288757</c:v>
                </c:pt>
                <c:pt idx="7">
                  <c:v>61.031852996285458</c:v>
                </c:pt>
                <c:pt idx="8">
                  <c:v>60.710138926103653</c:v>
                </c:pt>
                <c:pt idx="9">
                  <c:v>60.446443686667152</c:v>
                </c:pt>
                <c:pt idx="10">
                  <c:v>60.303803099999207</c:v>
                </c:pt>
                <c:pt idx="11">
                  <c:v>60.096293333960652</c:v>
                </c:pt>
              </c:numCache>
            </c:numRef>
          </c:val>
        </c:ser>
        <c:marker val="1"/>
        <c:axId val="174548096"/>
        <c:axId val="174549632"/>
      </c:lineChart>
      <c:catAx>
        <c:axId val="174548096"/>
        <c:scaling>
          <c:orientation val="minMax"/>
        </c:scaling>
        <c:axPos val="b"/>
        <c:numFmt formatCode="General" sourceLinked="1"/>
        <c:tickLblPos val="nextTo"/>
        <c:txPr>
          <a:bodyPr/>
          <a:lstStyle/>
          <a:p>
            <a:pPr>
              <a:defRPr sz="900"/>
            </a:pPr>
            <a:endParaRPr lang="en-US"/>
          </a:p>
        </c:txPr>
        <c:crossAx val="174549632"/>
        <c:crosses val="autoZero"/>
        <c:auto val="1"/>
        <c:lblAlgn val="ctr"/>
        <c:lblOffset val="100"/>
      </c:catAx>
      <c:valAx>
        <c:axId val="174549632"/>
        <c:scaling>
          <c:orientation val="minMax"/>
        </c:scaling>
        <c:axPos val="l"/>
        <c:majorGridlines/>
        <c:title>
          <c:tx>
            <c:rich>
              <a:bodyPr rot="0" vert="horz"/>
              <a:lstStyle/>
              <a:p>
                <a:pPr>
                  <a:defRPr/>
                </a:pPr>
                <a:r>
                  <a:rPr lang="en-US"/>
                  <a:t>%</a:t>
                </a:r>
              </a:p>
            </c:rich>
          </c:tx>
          <c:layout/>
        </c:title>
        <c:numFmt formatCode="General" sourceLinked="1"/>
        <c:tickLblPos val="nextTo"/>
        <c:crossAx val="17454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Ashford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1.1000000000000001</c:v>
                </c:pt>
                <c:pt idx="2">
                  <c:v>1.1000000000000001</c:v>
                </c:pt>
              </c:numCache>
            </c:numRef>
          </c:val>
        </c:ser>
        <c:axId val="175600384"/>
        <c:axId val="17560192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layout/>
        </c:title>
        <c:numFmt formatCode="General" sourceLinked="1"/>
        <c:tickLblPos val="nextTo"/>
        <c:crossAx val="175600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Ashford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0.39800995024875624</c:v>
                </c:pt>
                <c:pt idx="2">
                  <c:v>0.39643211100099107</c:v>
                </c:pt>
                <c:pt idx="3">
                  <c:v>0.49067713444553485</c:v>
                </c:pt>
                <c:pt idx="4">
                  <c:v>0.48828125</c:v>
                </c:pt>
                <c:pt idx="5">
                  <c:v>0.56710775047258977</c:v>
                </c:pt>
                <c:pt idx="6">
                  <c:v>0.54200542005420049</c:v>
                </c:pt>
                <c:pt idx="7">
                  <c:v>0.60606060606060608</c:v>
                </c:pt>
                <c:pt idx="8">
                  <c:v>0.49958368026644462</c:v>
                </c:pt>
                <c:pt idx="9">
                  <c:v>0.48348106365834004</c:v>
                </c:pt>
              </c:numCache>
            </c:numRef>
          </c:val>
        </c:ser>
        <c:axId val="175641728"/>
        <c:axId val="1756432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641728"/>
        <c:axId val="175643264"/>
      </c:lineChart>
      <c:catAx>
        <c:axId val="175641728"/>
        <c:scaling>
          <c:orientation val="minMax"/>
        </c:scaling>
        <c:axPos val="b"/>
        <c:numFmt formatCode="General" sourceLinked="1"/>
        <c:tickLblPos val="nextTo"/>
        <c:txPr>
          <a:bodyPr/>
          <a:lstStyle/>
          <a:p>
            <a:pPr>
              <a:defRPr sz="800"/>
            </a:pPr>
            <a:endParaRPr lang="en-US"/>
          </a:p>
        </c:txPr>
        <c:crossAx val="175643264"/>
        <c:crosses val="autoZero"/>
        <c:auto val="1"/>
        <c:lblAlgn val="ctr"/>
        <c:lblOffset val="100"/>
      </c:catAx>
      <c:valAx>
        <c:axId val="175643264"/>
        <c:scaling>
          <c:orientation val="minMax"/>
        </c:scaling>
        <c:axPos val="l"/>
        <c:majorGridlines/>
        <c:title>
          <c:tx>
            <c:rich>
              <a:bodyPr rot="0" vert="horz"/>
              <a:lstStyle/>
              <a:p>
                <a:pPr>
                  <a:defRPr/>
                </a:pPr>
                <a:r>
                  <a:rPr lang="en-US"/>
                  <a:t>%</a:t>
                </a:r>
              </a:p>
            </c:rich>
          </c:tx>
          <c:layout/>
        </c:title>
        <c:numFmt formatCode="General" sourceLinked="1"/>
        <c:tickLblPos val="nextTo"/>
        <c:crossAx val="17564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Ashford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9.1</c:v>
                </c:pt>
                <c:pt idx="1">
                  <c:v>8.9</c:v>
                </c:pt>
                <c:pt idx="2">
                  <c:v>8.9</c:v>
                </c:pt>
              </c:numCache>
            </c:numRef>
          </c:val>
        </c:ser>
        <c:axId val="175683072"/>
        <c:axId val="1756846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683072"/>
        <c:axId val="175684608"/>
      </c:lineChart>
      <c:catAx>
        <c:axId val="175683072"/>
        <c:scaling>
          <c:orientation val="minMax"/>
        </c:scaling>
        <c:axPos val="b"/>
        <c:numFmt formatCode="General" sourceLinked="1"/>
        <c:tickLblPos val="nextTo"/>
        <c:txPr>
          <a:bodyPr/>
          <a:lstStyle/>
          <a:p>
            <a:pPr>
              <a:defRPr sz="800"/>
            </a:pPr>
            <a:endParaRPr lang="en-US"/>
          </a:p>
        </c:txPr>
        <c:crossAx val="175684608"/>
        <c:crosses val="autoZero"/>
        <c:auto val="1"/>
        <c:lblAlgn val="ctr"/>
        <c:lblOffset val="100"/>
      </c:catAx>
      <c:valAx>
        <c:axId val="175684608"/>
        <c:scaling>
          <c:orientation val="minMax"/>
        </c:scaling>
        <c:axPos val="l"/>
        <c:majorGridlines/>
        <c:title>
          <c:tx>
            <c:rich>
              <a:bodyPr rot="0" vert="horz"/>
              <a:lstStyle/>
              <a:p>
                <a:pPr>
                  <a:defRPr/>
                </a:pPr>
                <a:r>
                  <a:rPr lang="en-US"/>
                  <a:t>%</a:t>
                </a:r>
              </a:p>
            </c:rich>
          </c:tx>
          <c:layout/>
        </c:title>
        <c:numFmt formatCode="General" sourceLinked="1"/>
        <c:tickLblPos val="nextTo"/>
        <c:crossAx val="175683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Ashford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6.766169154228856</c:v>
                </c:pt>
                <c:pt idx="2">
                  <c:v>6.3429137760158572</c:v>
                </c:pt>
                <c:pt idx="3">
                  <c:v>6.5750736015701667</c:v>
                </c:pt>
                <c:pt idx="4">
                  <c:v>6.73828125</c:v>
                </c:pt>
                <c:pt idx="5">
                  <c:v>6.3327032136105856</c:v>
                </c:pt>
                <c:pt idx="6">
                  <c:v>5.9620596205962055</c:v>
                </c:pt>
                <c:pt idx="7">
                  <c:v>5.4545454545454541</c:v>
                </c:pt>
                <c:pt idx="8">
                  <c:v>5.3288925895087429</c:v>
                </c:pt>
                <c:pt idx="9">
                  <c:v>5.3182917002417405</c:v>
                </c:pt>
              </c:numCache>
            </c:numRef>
          </c:val>
        </c:ser>
        <c:axId val="175732608"/>
        <c:axId val="17573414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732608"/>
        <c:axId val="175734144"/>
      </c:lineChart>
      <c:catAx>
        <c:axId val="175732608"/>
        <c:scaling>
          <c:orientation val="minMax"/>
        </c:scaling>
        <c:axPos val="b"/>
        <c:numFmt formatCode="General" sourceLinked="1"/>
        <c:tickLblPos val="nextTo"/>
        <c:txPr>
          <a:bodyPr/>
          <a:lstStyle/>
          <a:p>
            <a:pPr>
              <a:defRPr sz="800"/>
            </a:pPr>
            <a:endParaRPr lang="en-US"/>
          </a:p>
        </c:txPr>
        <c:crossAx val="175734144"/>
        <c:crosses val="autoZero"/>
        <c:auto val="1"/>
        <c:lblAlgn val="ctr"/>
        <c:lblOffset val="100"/>
      </c:catAx>
      <c:valAx>
        <c:axId val="175734144"/>
        <c:scaling>
          <c:orientation val="minMax"/>
        </c:scaling>
        <c:axPos val="l"/>
        <c:majorGridlines/>
        <c:title>
          <c:tx>
            <c:rich>
              <a:bodyPr rot="0" vert="horz"/>
              <a:lstStyle/>
              <a:p>
                <a:pPr>
                  <a:defRPr/>
                </a:pPr>
                <a:r>
                  <a:rPr lang="en-US"/>
                  <a:t>%</a:t>
                </a:r>
              </a:p>
            </c:rich>
          </c:tx>
          <c:layout/>
        </c:title>
        <c:numFmt formatCode="General" sourceLinked="1"/>
        <c:tickLblPos val="nextTo"/>
        <c:crossAx val="1757326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Ashford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4.0999999999999996</c:v>
                </c:pt>
                <c:pt idx="1">
                  <c:v>4</c:v>
                </c:pt>
                <c:pt idx="2">
                  <c:v>5.4</c:v>
                </c:pt>
              </c:numCache>
            </c:numRef>
          </c:val>
        </c:ser>
        <c:axId val="175782144"/>
        <c:axId val="17580032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782144"/>
        <c:axId val="175800320"/>
      </c:lineChart>
      <c:catAx>
        <c:axId val="175782144"/>
        <c:scaling>
          <c:orientation val="minMax"/>
        </c:scaling>
        <c:axPos val="b"/>
        <c:numFmt formatCode="General" sourceLinked="1"/>
        <c:tickLblPos val="nextTo"/>
        <c:txPr>
          <a:bodyPr/>
          <a:lstStyle/>
          <a:p>
            <a:pPr>
              <a:defRPr sz="800"/>
            </a:pPr>
            <a:endParaRPr lang="en-US"/>
          </a:p>
        </c:txPr>
        <c:crossAx val="175800320"/>
        <c:crosses val="autoZero"/>
        <c:auto val="1"/>
        <c:lblAlgn val="ctr"/>
        <c:lblOffset val="100"/>
      </c:catAx>
      <c:valAx>
        <c:axId val="175800320"/>
        <c:scaling>
          <c:orientation val="minMax"/>
        </c:scaling>
        <c:axPos val="l"/>
        <c:majorGridlines/>
        <c:title>
          <c:tx>
            <c:rich>
              <a:bodyPr rot="0" vert="horz"/>
              <a:lstStyle/>
              <a:p>
                <a:pPr>
                  <a:defRPr/>
                </a:pPr>
                <a:r>
                  <a:rPr lang="en-US"/>
                  <a:t>%</a:t>
                </a:r>
              </a:p>
            </c:rich>
          </c:tx>
          <c:layout/>
        </c:title>
        <c:numFmt formatCode="General" sourceLinked="1"/>
        <c:tickLblPos val="nextTo"/>
        <c:crossAx val="175782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Ashford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14.029850746268657</c:v>
                </c:pt>
                <c:pt idx="2">
                  <c:v>13.77601585728444</c:v>
                </c:pt>
                <c:pt idx="3">
                  <c:v>13.542688910696761</c:v>
                </c:pt>
                <c:pt idx="4">
                  <c:v>13.18359375</c:v>
                </c:pt>
                <c:pt idx="5">
                  <c:v>13.043478260869565</c:v>
                </c:pt>
                <c:pt idx="6">
                  <c:v>13.008130081300813</c:v>
                </c:pt>
                <c:pt idx="7">
                  <c:v>13.16017316017316</c:v>
                </c:pt>
                <c:pt idx="8">
                  <c:v>13.40549542048293</c:v>
                </c:pt>
                <c:pt idx="9">
                  <c:v>14.020950846091861</c:v>
                </c:pt>
              </c:numCache>
            </c:numRef>
          </c:val>
        </c:ser>
        <c:axId val="175827584"/>
        <c:axId val="1758375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827584"/>
        <c:axId val="175837568"/>
      </c:lineChart>
      <c:catAx>
        <c:axId val="175827584"/>
        <c:scaling>
          <c:orientation val="minMax"/>
        </c:scaling>
        <c:axPos val="b"/>
        <c:numFmt formatCode="General" sourceLinked="1"/>
        <c:tickLblPos val="nextTo"/>
        <c:txPr>
          <a:bodyPr/>
          <a:lstStyle/>
          <a:p>
            <a:pPr>
              <a:defRPr sz="800"/>
            </a:pPr>
            <a:endParaRPr lang="en-US"/>
          </a:p>
        </c:txPr>
        <c:crossAx val="175837568"/>
        <c:crosses val="autoZero"/>
        <c:auto val="1"/>
        <c:lblAlgn val="ctr"/>
        <c:lblOffset val="100"/>
      </c:catAx>
      <c:valAx>
        <c:axId val="175837568"/>
        <c:scaling>
          <c:orientation val="minMax"/>
        </c:scaling>
        <c:axPos val="l"/>
        <c:majorGridlines/>
        <c:title>
          <c:tx>
            <c:rich>
              <a:bodyPr rot="0" vert="horz"/>
              <a:lstStyle/>
              <a:p>
                <a:pPr>
                  <a:defRPr/>
                </a:pPr>
                <a:r>
                  <a:rPr lang="en-US"/>
                  <a:t>%</a:t>
                </a:r>
              </a:p>
            </c:rich>
          </c:tx>
          <c:layout/>
        </c:title>
        <c:numFmt formatCode="General" sourceLinked="1"/>
        <c:tickLblPos val="nextTo"/>
        <c:crossAx val="175827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Ashford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2.2999999999999998</c:v>
                </c:pt>
                <c:pt idx="1">
                  <c:v>2.2000000000000002</c:v>
                </c:pt>
                <c:pt idx="2">
                  <c:v>2.7</c:v>
                </c:pt>
              </c:numCache>
            </c:numRef>
          </c:val>
        </c:ser>
        <c:axId val="175873024"/>
        <c:axId val="17588710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873024"/>
        <c:axId val="175887104"/>
      </c:lineChart>
      <c:catAx>
        <c:axId val="175873024"/>
        <c:scaling>
          <c:orientation val="minMax"/>
        </c:scaling>
        <c:axPos val="b"/>
        <c:numFmt formatCode="General" sourceLinked="1"/>
        <c:tickLblPos val="nextTo"/>
        <c:txPr>
          <a:bodyPr/>
          <a:lstStyle/>
          <a:p>
            <a:pPr>
              <a:defRPr sz="800"/>
            </a:pPr>
            <a:endParaRPr lang="en-US"/>
          </a:p>
        </c:txPr>
        <c:crossAx val="175887104"/>
        <c:crosses val="autoZero"/>
        <c:auto val="1"/>
        <c:lblAlgn val="ctr"/>
        <c:lblOffset val="100"/>
      </c:catAx>
      <c:valAx>
        <c:axId val="175887104"/>
        <c:scaling>
          <c:orientation val="minMax"/>
        </c:scaling>
        <c:axPos val="l"/>
        <c:majorGridlines/>
        <c:title>
          <c:tx>
            <c:rich>
              <a:bodyPr rot="0" vert="horz"/>
              <a:lstStyle/>
              <a:p>
                <a:pPr>
                  <a:defRPr/>
                </a:pPr>
                <a:r>
                  <a:rPr lang="en-US"/>
                  <a:t>%</a:t>
                </a:r>
              </a:p>
            </c:rich>
          </c:tx>
          <c:layout/>
        </c:title>
        <c:numFmt formatCode="General" sourceLinked="1"/>
        <c:tickLblPos val="nextTo"/>
        <c:crossAx val="1758730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Ashford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3.1840796019900499</c:v>
                </c:pt>
                <c:pt idx="2">
                  <c:v>3.1714568880079286</c:v>
                </c:pt>
                <c:pt idx="3">
                  <c:v>2.9440628066732089</c:v>
                </c:pt>
                <c:pt idx="4">
                  <c:v>2.9296875</c:v>
                </c:pt>
                <c:pt idx="5">
                  <c:v>2.8355387523629489</c:v>
                </c:pt>
                <c:pt idx="6">
                  <c:v>2.7100271002710028</c:v>
                </c:pt>
                <c:pt idx="7">
                  <c:v>2.5974025974025974</c:v>
                </c:pt>
                <c:pt idx="8">
                  <c:v>2.5811823480432974</c:v>
                </c:pt>
                <c:pt idx="9">
                  <c:v>2.7397260273972601</c:v>
                </c:pt>
              </c:numCache>
            </c:numRef>
          </c:val>
        </c:ser>
        <c:axId val="175930368"/>
        <c:axId val="1759403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930368"/>
        <c:axId val="175940352"/>
      </c:lineChart>
      <c:catAx>
        <c:axId val="175930368"/>
        <c:scaling>
          <c:orientation val="minMax"/>
        </c:scaling>
        <c:axPos val="b"/>
        <c:numFmt formatCode="General" sourceLinked="1"/>
        <c:tickLblPos val="nextTo"/>
        <c:txPr>
          <a:bodyPr/>
          <a:lstStyle/>
          <a:p>
            <a:pPr>
              <a:defRPr sz="800"/>
            </a:pPr>
            <a:endParaRPr lang="en-US"/>
          </a:p>
        </c:txPr>
        <c:crossAx val="175940352"/>
        <c:crosses val="autoZero"/>
        <c:auto val="1"/>
        <c:lblAlgn val="ctr"/>
        <c:lblOffset val="100"/>
      </c:catAx>
      <c:valAx>
        <c:axId val="175940352"/>
        <c:scaling>
          <c:orientation val="minMax"/>
        </c:scaling>
        <c:axPos val="l"/>
        <c:majorGridlines/>
        <c:title>
          <c:tx>
            <c:rich>
              <a:bodyPr rot="0" vert="horz"/>
              <a:lstStyle/>
              <a:p>
                <a:pPr>
                  <a:defRPr/>
                </a:pPr>
                <a:r>
                  <a:rPr lang="en-US"/>
                  <a:t>%</a:t>
                </a:r>
              </a:p>
            </c:rich>
          </c:tx>
          <c:layout/>
        </c:title>
        <c:numFmt formatCode="General" sourceLinked="1"/>
        <c:tickLblPos val="nextTo"/>
        <c:crossAx val="1759303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Ashford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7.3</c:v>
                </c:pt>
                <c:pt idx="1">
                  <c:v>8</c:v>
                </c:pt>
                <c:pt idx="2">
                  <c:v>7.1</c:v>
                </c:pt>
              </c:numCache>
            </c:numRef>
          </c:val>
        </c:ser>
        <c:axId val="175963520"/>
        <c:axId val="17597760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963520"/>
        <c:axId val="175977600"/>
      </c:lineChart>
      <c:catAx>
        <c:axId val="175963520"/>
        <c:scaling>
          <c:orientation val="minMax"/>
        </c:scaling>
        <c:axPos val="b"/>
        <c:numFmt formatCode="General" sourceLinked="1"/>
        <c:tickLblPos val="nextTo"/>
        <c:txPr>
          <a:bodyPr/>
          <a:lstStyle/>
          <a:p>
            <a:pPr>
              <a:defRPr sz="800"/>
            </a:pPr>
            <a:endParaRPr lang="en-US"/>
          </a:p>
        </c:txPr>
        <c:crossAx val="175977600"/>
        <c:crosses val="autoZero"/>
        <c:auto val="1"/>
        <c:lblAlgn val="ctr"/>
        <c:lblOffset val="100"/>
      </c:catAx>
      <c:valAx>
        <c:axId val="175977600"/>
        <c:scaling>
          <c:orientation val="minMax"/>
        </c:scaling>
        <c:axPos val="l"/>
        <c:majorGridlines/>
        <c:title>
          <c:tx>
            <c:rich>
              <a:bodyPr rot="0" vert="horz"/>
              <a:lstStyle/>
              <a:p>
                <a:pPr>
                  <a:defRPr/>
                </a:pPr>
                <a:r>
                  <a:rPr lang="en-US"/>
                  <a:t>%</a:t>
                </a:r>
              </a:p>
            </c:rich>
          </c:tx>
          <c:layout/>
        </c:title>
        <c:numFmt formatCode="General" sourceLinked="1"/>
        <c:tickLblPos val="nextTo"/>
        <c:crossAx val="1759635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Ashford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7.4626865671641793</c:v>
                </c:pt>
                <c:pt idx="2">
                  <c:v>8.4241823587710609</c:v>
                </c:pt>
                <c:pt idx="3">
                  <c:v>6.8694798822374876</c:v>
                </c:pt>
                <c:pt idx="4">
                  <c:v>6.8359375</c:v>
                </c:pt>
                <c:pt idx="5">
                  <c:v>6.8998109640831755</c:v>
                </c:pt>
                <c:pt idx="6">
                  <c:v>6.3233965672990067</c:v>
                </c:pt>
                <c:pt idx="7">
                  <c:v>6.4935064935064934</c:v>
                </c:pt>
                <c:pt idx="8">
                  <c:v>6.1615320566194836</c:v>
                </c:pt>
                <c:pt idx="9">
                  <c:v>7.6551168412570512</c:v>
                </c:pt>
              </c:numCache>
            </c:numRef>
          </c:val>
        </c:ser>
        <c:axId val="176005120"/>
        <c:axId val="176006656"/>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6005120"/>
        <c:axId val="176006656"/>
      </c:lineChart>
      <c:catAx>
        <c:axId val="176005120"/>
        <c:scaling>
          <c:orientation val="minMax"/>
        </c:scaling>
        <c:axPos val="b"/>
        <c:numFmt formatCode="General" sourceLinked="1"/>
        <c:tickLblPos val="nextTo"/>
        <c:txPr>
          <a:bodyPr/>
          <a:lstStyle/>
          <a:p>
            <a:pPr>
              <a:defRPr sz="800"/>
            </a:pPr>
            <a:endParaRPr lang="en-US"/>
          </a:p>
        </c:txPr>
        <c:crossAx val="176006656"/>
        <c:crosses val="autoZero"/>
        <c:auto val="1"/>
        <c:lblAlgn val="ctr"/>
        <c:lblOffset val="100"/>
      </c:catAx>
      <c:valAx>
        <c:axId val="176006656"/>
        <c:scaling>
          <c:orientation val="minMax"/>
        </c:scaling>
        <c:axPos val="l"/>
        <c:majorGridlines/>
        <c:title>
          <c:tx>
            <c:rich>
              <a:bodyPr rot="0" vert="horz"/>
              <a:lstStyle/>
              <a:p>
                <a:pPr>
                  <a:defRPr/>
                </a:pPr>
                <a:r>
                  <a:rPr lang="en-US"/>
                  <a:t>%</a:t>
                </a:r>
              </a:p>
            </c:rich>
          </c:tx>
          <c:layout/>
        </c:title>
        <c:numFmt formatCode="General" sourceLinked="1"/>
        <c:tickLblPos val="nextTo"/>
        <c:crossAx val="1760051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Ashford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60.303803099999207</c:v>
                </c:pt>
                <c:pt idx="2">
                  <c:v>60.127811097398975</c:v>
                </c:pt>
                <c:pt idx="3">
                  <c:v>59.966561685913135</c:v>
                </c:pt>
                <c:pt idx="4">
                  <c:v>59.818405663281013</c:v>
                </c:pt>
                <c:pt idx="5">
                  <c:v>59.640049963441385</c:v>
                </c:pt>
                <c:pt idx="6">
                  <c:v>59.458705146676124</c:v>
                </c:pt>
                <c:pt idx="7">
                  <c:v>59.270939200095654</c:v>
                </c:pt>
                <c:pt idx="8">
                  <c:v>59.131407241729185</c:v>
                </c:pt>
                <c:pt idx="9">
                  <c:v>58.97400127754242</c:v>
                </c:pt>
                <c:pt idx="10">
                  <c:v>58.81397770382938</c:v>
                </c:pt>
                <c:pt idx="11">
                  <c:v>58.564513798584017</c:v>
                </c:pt>
                <c:pt idx="12">
                  <c:v>58.329150592993074</c:v>
                </c:pt>
                <c:pt idx="13">
                  <c:v>58.109089355885871</c:v>
                </c:pt>
                <c:pt idx="14">
                  <c:v>57.828318534019566</c:v>
                </c:pt>
                <c:pt idx="15">
                  <c:v>57.493310484805498</c:v>
                </c:pt>
                <c:pt idx="16">
                  <c:v>57.162994856907588</c:v>
                </c:pt>
                <c:pt idx="17">
                  <c:v>56.84948608047938</c:v>
                </c:pt>
                <c:pt idx="18">
                  <c:v>56.54184991658969</c:v>
                </c:pt>
                <c:pt idx="19">
                  <c:v>56.256510059755499</c:v>
                </c:pt>
                <c:pt idx="20">
                  <c:v>56.013298542746774</c:v>
                </c:pt>
                <c:pt idx="21">
                  <c:v>55.786243615623263</c:v>
                </c:pt>
                <c:pt idx="22">
                  <c:v>55.611468143297898</c:v>
                </c:pt>
                <c:pt idx="23">
                  <c:v>55.476643529064937</c:v>
                </c:pt>
                <c:pt idx="24">
                  <c:v>55.383682337416523</c:v>
                </c:pt>
                <c:pt idx="25">
                  <c:v>55.33029250311597</c:v>
                </c:pt>
                <c:pt idx="26">
                  <c:v>55.299587798845835</c:v>
                </c:pt>
              </c:numCache>
            </c:numRef>
          </c:val>
        </c:ser>
        <c:marker val="1"/>
        <c:axId val="175257088"/>
        <c:axId val="175258624"/>
      </c:lineChart>
      <c:catAx>
        <c:axId val="175257088"/>
        <c:scaling>
          <c:orientation val="minMax"/>
        </c:scaling>
        <c:axPos val="b"/>
        <c:numFmt formatCode="General" sourceLinked="1"/>
        <c:tickLblPos val="nextTo"/>
        <c:txPr>
          <a:bodyPr/>
          <a:lstStyle/>
          <a:p>
            <a:pPr>
              <a:defRPr sz="900"/>
            </a:pPr>
            <a:endParaRPr lang="en-US"/>
          </a:p>
        </c:txPr>
        <c:crossAx val="175258624"/>
        <c:crosses val="autoZero"/>
        <c:auto val="1"/>
        <c:lblAlgn val="ctr"/>
        <c:lblOffset val="100"/>
      </c:catAx>
      <c:valAx>
        <c:axId val="175258624"/>
        <c:scaling>
          <c:orientation val="minMax"/>
        </c:scaling>
        <c:axPos val="l"/>
        <c:majorGridlines/>
        <c:title>
          <c:tx>
            <c:rich>
              <a:bodyPr rot="0" vert="horz"/>
              <a:lstStyle/>
              <a:p>
                <a:pPr>
                  <a:defRPr/>
                </a:pPr>
                <a:r>
                  <a:rPr lang="en-US"/>
                  <a:t>%</a:t>
                </a:r>
              </a:p>
            </c:rich>
          </c:tx>
          <c:layout/>
        </c:title>
        <c:numFmt formatCode="General" sourceLinked="1"/>
        <c:tickLblPos val="nextTo"/>
        <c:crossAx val="17525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Ashford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10.9</c:v>
                </c:pt>
                <c:pt idx="1">
                  <c:v>10.7</c:v>
                </c:pt>
                <c:pt idx="2">
                  <c:v>10.7</c:v>
                </c:pt>
              </c:numCache>
            </c:numRef>
          </c:val>
        </c:ser>
        <c:axId val="176079232"/>
        <c:axId val="1760807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6079232"/>
        <c:axId val="176080768"/>
      </c:lineChart>
      <c:catAx>
        <c:axId val="176079232"/>
        <c:scaling>
          <c:orientation val="minMax"/>
        </c:scaling>
        <c:axPos val="b"/>
        <c:numFmt formatCode="General" sourceLinked="1"/>
        <c:tickLblPos val="nextTo"/>
        <c:txPr>
          <a:bodyPr/>
          <a:lstStyle/>
          <a:p>
            <a:pPr>
              <a:defRPr sz="800"/>
            </a:pPr>
            <a:endParaRPr lang="en-US"/>
          </a:p>
        </c:txPr>
        <c:crossAx val="176080768"/>
        <c:crosses val="autoZero"/>
        <c:auto val="1"/>
        <c:lblAlgn val="ctr"/>
        <c:lblOffset val="100"/>
      </c:catAx>
      <c:valAx>
        <c:axId val="176080768"/>
        <c:scaling>
          <c:orientation val="minMax"/>
        </c:scaling>
        <c:axPos val="l"/>
        <c:majorGridlines/>
        <c:title>
          <c:tx>
            <c:rich>
              <a:bodyPr rot="0" vert="horz"/>
              <a:lstStyle/>
              <a:p>
                <a:pPr>
                  <a:defRPr/>
                </a:pPr>
                <a:r>
                  <a:rPr lang="en-US"/>
                  <a:t>%</a:t>
                </a:r>
              </a:p>
            </c:rich>
          </c:tx>
          <c:layout/>
        </c:title>
        <c:numFmt formatCode="General" sourceLinked="1"/>
        <c:tickLblPos val="nextTo"/>
        <c:crossAx val="176079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Ashford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7.3631840796019903</c:v>
                </c:pt>
                <c:pt idx="2">
                  <c:v>7.2348860257680876</c:v>
                </c:pt>
                <c:pt idx="3">
                  <c:v>6.4769381746810595</c:v>
                </c:pt>
                <c:pt idx="4">
                  <c:v>6.54296875</c:v>
                </c:pt>
                <c:pt idx="5">
                  <c:v>6.5217391304347823</c:v>
                </c:pt>
                <c:pt idx="6">
                  <c:v>6.5040650406504064</c:v>
                </c:pt>
                <c:pt idx="7">
                  <c:v>6.4069264069264067</c:v>
                </c:pt>
                <c:pt idx="8">
                  <c:v>6.0782681099084099</c:v>
                </c:pt>
                <c:pt idx="9">
                  <c:v>5.9629331184528604</c:v>
                </c:pt>
              </c:numCache>
            </c:numRef>
          </c:val>
        </c:ser>
        <c:axId val="176124672"/>
        <c:axId val="1761262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6124672"/>
        <c:axId val="176126208"/>
      </c:lineChart>
      <c:catAx>
        <c:axId val="176124672"/>
        <c:scaling>
          <c:orientation val="minMax"/>
        </c:scaling>
        <c:axPos val="b"/>
        <c:numFmt formatCode="General" sourceLinked="1"/>
        <c:tickLblPos val="nextTo"/>
        <c:txPr>
          <a:bodyPr/>
          <a:lstStyle/>
          <a:p>
            <a:pPr>
              <a:defRPr sz="800"/>
            </a:pPr>
            <a:endParaRPr lang="en-US"/>
          </a:p>
        </c:txPr>
        <c:crossAx val="176126208"/>
        <c:crosses val="autoZero"/>
        <c:auto val="1"/>
        <c:lblAlgn val="ctr"/>
        <c:lblOffset val="100"/>
      </c:catAx>
      <c:valAx>
        <c:axId val="176126208"/>
        <c:scaling>
          <c:orientation val="minMax"/>
        </c:scaling>
        <c:axPos val="l"/>
        <c:majorGridlines/>
        <c:title>
          <c:tx>
            <c:rich>
              <a:bodyPr rot="0" vert="horz"/>
              <a:lstStyle/>
              <a:p>
                <a:pPr>
                  <a:defRPr/>
                </a:pPr>
                <a:r>
                  <a:rPr lang="en-US"/>
                  <a:t>%</a:t>
                </a:r>
              </a:p>
            </c:rich>
          </c:tx>
          <c:layout/>
        </c:title>
        <c:numFmt formatCode="General" sourceLinked="1"/>
        <c:tickLblPos val="nextTo"/>
        <c:crossAx val="176124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Ashford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4.5</c:v>
                </c:pt>
                <c:pt idx="1">
                  <c:v>6.2</c:v>
                </c:pt>
                <c:pt idx="2">
                  <c:v>5.4</c:v>
                </c:pt>
              </c:numCache>
            </c:numRef>
          </c:val>
        </c:ser>
        <c:axId val="176170112"/>
        <c:axId val="17617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6170112"/>
        <c:axId val="176171648"/>
      </c:lineChart>
      <c:catAx>
        <c:axId val="176170112"/>
        <c:scaling>
          <c:orientation val="minMax"/>
        </c:scaling>
        <c:axPos val="b"/>
        <c:numFmt formatCode="General" sourceLinked="1"/>
        <c:tickLblPos val="nextTo"/>
        <c:txPr>
          <a:bodyPr/>
          <a:lstStyle/>
          <a:p>
            <a:pPr>
              <a:defRPr sz="800"/>
            </a:pPr>
            <a:endParaRPr lang="en-US"/>
          </a:p>
        </c:txPr>
        <c:crossAx val="176171648"/>
        <c:crosses val="autoZero"/>
        <c:auto val="1"/>
        <c:lblAlgn val="ctr"/>
        <c:lblOffset val="100"/>
      </c:catAx>
      <c:valAx>
        <c:axId val="176171648"/>
        <c:scaling>
          <c:orientation val="minMax"/>
        </c:scaling>
        <c:axPos val="l"/>
        <c:majorGridlines/>
        <c:title>
          <c:tx>
            <c:rich>
              <a:bodyPr rot="0" vert="horz"/>
              <a:lstStyle/>
              <a:p>
                <a:pPr>
                  <a:defRPr/>
                </a:pPr>
                <a:r>
                  <a:rPr lang="en-US"/>
                  <a:t>%</a:t>
                </a:r>
              </a:p>
            </c:rich>
          </c:tx>
          <c:layout/>
        </c:title>
        <c:numFmt formatCode="General" sourceLinked="1"/>
        <c:tickLblPos val="nextTo"/>
        <c:crossAx val="176170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Ashford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3.1840796019900499</c:v>
                </c:pt>
                <c:pt idx="2">
                  <c:v>2.9732408325074333</c:v>
                </c:pt>
                <c:pt idx="3">
                  <c:v>2.845927379784102</c:v>
                </c:pt>
                <c:pt idx="4">
                  <c:v>2.83203125</c:v>
                </c:pt>
                <c:pt idx="5">
                  <c:v>2.7410207939508506</c:v>
                </c:pt>
                <c:pt idx="6">
                  <c:v>2.4390243902439024</c:v>
                </c:pt>
                <c:pt idx="7">
                  <c:v>2.5108225108225106</c:v>
                </c:pt>
                <c:pt idx="8">
                  <c:v>2.6644462947543714</c:v>
                </c:pt>
                <c:pt idx="9">
                  <c:v>2.5785656728444803</c:v>
                </c:pt>
              </c:numCache>
            </c:numRef>
          </c:val>
        </c:ser>
        <c:axId val="75193344"/>
        <c:axId val="752156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75193344"/>
        <c:axId val="75215616"/>
      </c:lineChart>
      <c:catAx>
        <c:axId val="75193344"/>
        <c:scaling>
          <c:orientation val="minMax"/>
        </c:scaling>
        <c:axPos val="b"/>
        <c:numFmt formatCode="General" sourceLinked="1"/>
        <c:tickLblPos val="nextTo"/>
        <c:txPr>
          <a:bodyPr/>
          <a:lstStyle/>
          <a:p>
            <a:pPr>
              <a:defRPr sz="800"/>
            </a:pPr>
            <a:endParaRPr lang="en-US"/>
          </a:p>
        </c:txPr>
        <c:crossAx val="75215616"/>
        <c:crosses val="autoZero"/>
        <c:auto val="1"/>
        <c:lblAlgn val="ctr"/>
        <c:lblOffset val="100"/>
      </c:catAx>
      <c:valAx>
        <c:axId val="75215616"/>
        <c:scaling>
          <c:orientation val="minMax"/>
        </c:scaling>
        <c:axPos val="l"/>
        <c:majorGridlines/>
        <c:title>
          <c:tx>
            <c:rich>
              <a:bodyPr rot="0" vert="horz"/>
              <a:lstStyle/>
              <a:p>
                <a:pPr>
                  <a:defRPr/>
                </a:pPr>
                <a:r>
                  <a:rPr lang="en-US"/>
                  <a:t>%</a:t>
                </a:r>
              </a:p>
            </c:rich>
          </c:tx>
          <c:layout/>
        </c:title>
        <c:numFmt formatCode="General" sourceLinked="1"/>
        <c:tickLblPos val="nextTo"/>
        <c:crossAx val="75193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Ashford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7.3</c:v>
                </c:pt>
                <c:pt idx="1">
                  <c:v>6.2</c:v>
                </c:pt>
                <c:pt idx="2">
                  <c:v>6.2</c:v>
                </c:pt>
              </c:numCache>
            </c:numRef>
          </c:val>
        </c:ser>
        <c:axId val="176260992"/>
        <c:axId val="1762625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6260992"/>
        <c:axId val="176262528"/>
      </c:lineChart>
      <c:catAx>
        <c:axId val="176260992"/>
        <c:scaling>
          <c:orientation val="minMax"/>
        </c:scaling>
        <c:axPos val="b"/>
        <c:numFmt formatCode="General" sourceLinked="1"/>
        <c:tickLblPos val="nextTo"/>
        <c:txPr>
          <a:bodyPr/>
          <a:lstStyle/>
          <a:p>
            <a:pPr>
              <a:defRPr sz="800"/>
            </a:pPr>
            <a:endParaRPr lang="en-US"/>
          </a:p>
        </c:txPr>
        <c:crossAx val="176262528"/>
        <c:crosses val="autoZero"/>
        <c:auto val="1"/>
        <c:lblAlgn val="ctr"/>
        <c:lblOffset val="100"/>
      </c:catAx>
      <c:valAx>
        <c:axId val="176262528"/>
        <c:scaling>
          <c:orientation val="minMax"/>
        </c:scaling>
        <c:axPos val="l"/>
        <c:majorGridlines/>
        <c:title>
          <c:tx>
            <c:rich>
              <a:bodyPr rot="0" vert="horz"/>
              <a:lstStyle/>
              <a:p>
                <a:pPr>
                  <a:defRPr/>
                </a:pPr>
                <a:r>
                  <a:rPr lang="en-US"/>
                  <a:t>%</a:t>
                </a:r>
              </a:p>
            </c:rich>
          </c:tx>
          <c:layout/>
        </c:title>
        <c:numFmt formatCode="General" sourceLinked="1"/>
        <c:tickLblPos val="nextTo"/>
        <c:crossAx val="1762609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Ashford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4.4776119402985071</c:v>
                </c:pt>
                <c:pt idx="2">
                  <c:v>4.7571853320118933</c:v>
                </c:pt>
                <c:pt idx="3">
                  <c:v>4.8086359175662414</c:v>
                </c:pt>
                <c:pt idx="4">
                  <c:v>4.39453125</c:v>
                </c:pt>
                <c:pt idx="5">
                  <c:v>4.4423440453686203</c:v>
                </c:pt>
                <c:pt idx="6">
                  <c:v>4.2457091237579041</c:v>
                </c:pt>
                <c:pt idx="7">
                  <c:v>3.9826839826839828</c:v>
                </c:pt>
                <c:pt idx="8">
                  <c:v>4.0799333888426315</c:v>
                </c:pt>
                <c:pt idx="9">
                  <c:v>4.0290088638195005</c:v>
                </c:pt>
              </c:numCache>
            </c:numRef>
          </c:val>
        </c:ser>
        <c:axId val="118543872"/>
        <c:axId val="11858035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18543872"/>
        <c:axId val="118580352"/>
      </c:lineChart>
      <c:catAx>
        <c:axId val="118543872"/>
        <c:scaling>
          <c:orientation val="minMax"/>
        </c:scaling>
        <c:axPos val="b"/>
        <c:numFmt formatCode="General" sourceLinked="1"/>
        <c:tickLblPos val="nextTo"/>
        <c:txPr>
          <a:bodyPr/>
          <a:lstStyle/>
          <a:p>
            <a:pPr>
              <a:defRPr sz="800"/>
            </a:pPr>
            <a:endParaRPr lang="en-US"/>
          </a:p>
        </c:txPr>
        <c:crossAx val="118580352"/>
        <c:crosses val="autoZero"/>
        <c:auto val="1"/>
        <c:lblAlgn val="ctr"/>
        <c:lblOffset val="100"/>
      </c:catAx>
      <c:valAx>
        <c:axId val="118580352"/>
        <c:scaling>
          <c:orientation val="minMax"/>
        </c:scaling>
        <c:axPos val="l"/>
        <c:majorGridlines/>
        <c:title>
          <c:tx>
            <c:rich>
              <a:bodyPr rot="0" vert="horz"/>
              <a:lstStyle/>
              <a:p>
                <a:pPr>
                  <a:defRPr/>
                </a:pPr>
                <a:r>
                  <a:rPr lang="en-US"/>
                  <a:t>%</a:t>
                </a:r>
              </a:p>
            </c:rich>
          </c:tx>
          <c:layout/>
        </c:title>
        <c:numFmt formatCode="General" sourceLinked="1"/>
        <c:tickLblPos val="nextTo"/>
        <c:crossAx val="11854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Ashford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2.7</c:v>
                </c:pt>
                <c:pt idx="1">
                  <c:v>2.7</c:v>
                </c:pt>
                <c:pt idx="2">
                  <c:v>2.2000000000000002</c:v>
                </c:pt>
              </c:numCache>
            </c:numRef>
          </c:val>
        </c:ser>
        <c:axId val="176347776"/>
        <c:axId val="17637004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6347776"/>
        <c:axId val="176370048"/>
      </c:lineChart>
      <c:catAx>
        <c:axId val="176347776"/>
        <c:scaling>
          <c:orientation val="minMax"/>
        </c:scaling>
        <c:axPos val="b"/>
        <c:numFmt formatCode="General" sourceLinked="1"/>
        <c:tickLblPos val="nextTo"/>
        <c:txPr>
          <a:bodyPr/>
          <a:lstStyle/>
          <a:p>
            <a:pPr>
              <a:defRPr sz="800"/>
            </a:pPr>
            <a:endParaRPr lang="en-US"/>
          </a:p>
        </c:txPr>
        <c:crossAx val="176370048"/>
        <c:crosses val="autoZero"/>
        <c:auto val="1"/>
        <c:lblAlgn val="ctr"/>
        <c:lblOffset val="100"/>
      </c:catAx>
      <c:valAx>
        <c:axId val="176370048"/>
        <c:scaling>
          <c:orientation val="minMax"/>
        </c:scaling>
        <c:axPos val="l"/>
        <c:majorGridlines/>
        <c:title>
          <c:tx>
            <c:rich>
              <a:bodyPr rot="0" vert="horz"/>
              <a:lstStyle/>
              <a:p>
                <a:pPr>
                  <a:defRPr/>
                </a:pPr>
                <a:r>
                  <a:rPr lang="en-US"/>
                  <a:t>%</a:t>
                </a:r>
              </a:p>
            </c:rich>
          </c:tx>
          <c:layout/>
        </c:title>
        <c:numFmt formatCode="General" sourceLinked="1"/>
        <c:tickLblPos val="nextTo"/>
        <c:crossAx val="176347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Ashford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5.8706467661691546</c:v>
                </c:pt>
                <c:pt idx="2">
                  <c:v>5.4509415262636276</c:v>
                </c:pt>
                <c:pt idx="3">
                  <c:v>5.986261040235525</c:v>
                </c:pt>
                <c:pt idx="4">
                  <c:v>6.0546875</c:v>
                </c:pt>
                <c:pt idx="5">
                  <c:v>6.3327032136105856</c:v>
                </c:pt>
                <c:pt idx="6">
                  <c:v>6.0523938572719063</c:v>
                </c:pt>
                <c:pt idx="7">
                  <c:v>6.3203463203463199</c:v>
                </c:pt>
                <c:pt idx="8">
                  <c:v>6.5778517901748543</c:v>
                </c:pt>
                <c:pt idx="9">
                  <c:v>6.526994359387591</c:v>
                </c:pt>
              </c:numCache>
            </c:numRef>
          </c:val>
        </c:ser>
        <c:axId val="71854720"/>
        <c:axId val="7187481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71854720"/>
        <c:axId val="71874816"/>
      </c:lineChart>
      <c:catAx>
        <c:axId val="71854720"/>
        <c:scaling>
          <c:orientation val="minMax"/>
        </c:scaling>
        <c:axPos val="b"/>
        <c:numFmt formatCode="General" sourceLinked="1"/>
        <c:tickLblPos val="nextTo"/>
        <c:txPr>
          <a:bodyPr/>
          <a:lstStyle/>
          <a:p>
            <a:pPr>
              <a:defRPr sz="800"/>
            </a:pPr>
            <a:endParaRPr lang="en-US"/>
          </a:p>
        </c:txPr>
        <c:crossAx val="71874816"/>
        <c:crosses val="autoZero"/>
        <c:auto val="1"/>
        <c:lblAlgn val="ctr"/>
        <c:lblOffset val="100"/>
      </c:catAx>
      <c:valAx>
        <c:axId val="71874816"/>
        <c:scaling>
          <c:orientation val="minMax"/>
        </c:scaling>
        <c:axPos val="l"/>
        <c:majorGridlines/>
        <c:title>
          <c:tx>
            <c:rich>
              <a:bodyPr rot="0" vert="horz"/>
              <a:lstStyle/>
              <a:p>
                <a:pPr>
                  <a:defRPr/>
                </a:pPr>
                <a:r>
                  <a:rPr lang="en-US"/>
                  <a:t>%</a:t>
                </a:r>
              </a:p>
            </c:rich>
          </c:tx>
          <c:layout/>
        </c:title>
        <c:numFmt formatCode="General" sourceLinked="1"/>
        <c:tickLblPos val="nextTo"/>
        <c:crossAx val="7185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Ashford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1.3</c:v>
                </c:pt>
                <c:pt idx="1">
                  <c:v>1.1000000000000001</c:v>
                </c:pt>
                <c:pt idx="2">
                  <c:v>1.1000000000000001</c:v>
                </c:pt>
              </c:numCache>
            </c:numRef>
          </c:val>
        </c:ser>
        <c:axId val="176463872"/>
        <c:axId val="1764654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463872"/>
        <c:axId val="176465408"/>
      </c:lineChart>
      <c:catAx>
        <c:axId val="176463872"/>
        <c:scaling>
          <c:orientation val="minMax"/>
        </c:scaling>
        <c:axPos val="b"/>
        <c:numFmt formatCode="General" sourceLinked="1"/>
        <c:tickLblPos val="nextTo"/>
        <c:txPr>
          <a:bodyPr/>
          <a:lstStyle/>
          <a:p>
            <a:pPr>
              <a:defRPr sz="800"/>
            </a:pPr>
            <a:endParaRPr lang="en-US"/>
          </a:p>
        </c:txPr>
        <c:crossAx val="176465408"/>
        <c:crosses val="autoZero"/>
        <c:auto val="1"/>
        <c:lblAlgn val="ctr"/>
        <c:lblOffset val="100"/>
      </c:catAx>
      <c:valAx>
        <c:axId val="176465408"/>
        <c:scaling>
          <c:orientation val="minMax"/>
        </c:scaling>
        <c:axPos val="l"/>
        <c:majorGridlines/>
        <c:title>
          <c:tx>
            <c:rich>
              <a:bodyPr rot="0" vert="horz"/>
              <a:lstStyle/>
              <a:p>
                <a:pPr>
                  <a:defRPr/>
                </a:pPr>
                <a:r>
                  <a:rPr lang="en-US"/>
                  <a:t>%</a:t>
                </a:r>
              </a:p>
            </c:rich>
          </c:tx>
          <c:layout/>
        </c:title>
        <c:numFmt formatCode="General" sourceLinked="1"/>
        <c:tickLblPos val="nextTo"/>
        <c:crossAx val="17646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Ashford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3.383084577114428</c:v>
                </c:pt>
                <c:pt idx="2">
                  <c:v>4.5589692765113972</c:v>
                </c:pt>
                <c:pt idx="3">
                  <c:v>4.9067713444553487</c:v>
                </c:pt>
                <c:pt idx="4">
                  <c:v>5.2734375</c:v>
                </c:pt>
                <c:pt idx="5">
                  <c:v>5.1984877126654068</c:v>
                </c:pt>
                <c:pt idx="6">
                  <c:v>5.4200542005420056</c:v>
                </c:pt>
                <c:pt idx="7">
                  <c:v>5.4545454545454541</c:v>
                </c:pt>
                <c:pt idx="8">
                  <c:v>5.5786844296419646</c:v>
                </c:pt>
                <c:pt idx="9">
                  <c:v>5.5600322320709106</c:v>
                </c:pt>
              </c:numCache>
            </c:numRef>
          </c:val>
        </c:ser>
        <c:axId val="118665216"/>
        <c:axId val="118676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18665216"/>
        <c:axId val="118676096"/>
      </c:lineChart>
      <c:catAx>
        <c:axId val="118665216"/>
        <c:scaling>
          <c:orientation val="minMax"/>
        </c:scaling>
        <c:axPos val="b"/>
        <c:numFmt formatCode="General" sourceLinked="1"/>
        <c:tickLblPos val="nextTo"/>
        <c:txPr>
          <a:bodyPr/>
          <a:lstStyle/>
          <a:p>
            <a:pPr>
              <a:defRPr sz="800"/>
            </a:pPr>
            <a:endParaRPr lang="en-US"/>
          </a:p>
        </c:txPr>
        <c:crossAx val="118676096"/>
        <c:crosses val="autoZero"/>
        <c:auto val="1"/>
        <c:lblAlgn val="ctr"/>
        <c:lblOffset val="100"/>
      </c:catAx>
      <c:valAx>
        <c:axId val="118676096"/>
        <c:scaling>
          <c:orientation val="minMax"/>
        </c:scaling>
        <c:axPos val="l"/>
        <c:majorGridlines/>
        <c:title>
          <c:tx>
            <c:rich>
              <a:bodyPr rot="0" vert="horz"/>
              <a:lstStyle/>
              <a:p>
                <a:pPr>
                  <a:defRPr/>
                </a:pPr>
                <a:r>
                  <a:rPr lang="en-US"/>
                  <a:t>%</a:t>
                </a:r>
              </a:p>
            </c:rich>
          </c:tx>
          <c:layout/>
        </c:title>
        <c:numFmt formatCode="General" sourceLinked="1"/>
        <c:tickLblPos val="nextTo"/>
        <c:crossAx val="1186652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Ashford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37.799999999999997</c:v>
                </c:pt>
                <c:pt idx="4">
                  <c:v>37.5</c:v>
                </c:pt>
                <c:pt idx="5">
                  <c:v>37.5</c:v>
                </c:pt>
                <c:pt idx="6">
                  <c:v>37.5</c:v>
                </c:pt>
                <c:pt idx="7">
                  <c:v>37.5</c:v>
                </c:pt>
                <c:pt idx="8">
                  <c:v>37.5</c:v>
                </c:pt>
                <c:pt idx="9">
                  <c:v>37.5</c:v>
                </c:pt>
                <c:pt idx="10">
                  <c:v>37.5</c:v>
                </c:pt>
                <c:pt idx="11">
                  <c:v>37.5</c:v>
                </c:pt>
              </c:numCache>
            </c:numRef>
          </c:val>
        </c:ser>
        <c:marker val="1"/>
        <c:axId val="142935552"/>
        <c:axId val="142937088"/>
      </c:lineChart>
      <c:catAx>
        <c:axId val="142935552"/>
        <c:scaling>
          <c:orientation val="minMax"/>
        </c:scaling>
        <c:axPos val="b"/>
        <c:numFmt formatCode="General" sourceLinked="1"/>
        <c:tickLblPos val="nextTo"/>
        <c:crossAx val="142937088"/>
        <c:crosses val="autoZero"/>
        <c:auto val="1"/>
        <c:lblAlgn val="ctr"/>
        <c:lblOffset val="100"/>
      </c:catAx>
      <c:valAx>
        <c:axId val="1429370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93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Ashford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1.1000000000000001</c:v>
                </c:pt>
                <c:pt idx="1">
                  <c:v>1.4</c:v>
                </c:pt>
                <c:pt idx="2">
                  <c:v>1.2</c:v>
                </c:pt>
              </c:numCache>
            </c:numRef>
          </c:val>
        </c:ser>
        <c:axId val="176558848"/>
        <c:axId val="1765603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558848"/>
        <c:axId val="176560384"/>
      </c:lineChart>
      <c:catAx>
        <c:axId val="176558848"/>
        <c:scaling>
          <c:orientation val="minMax"/>
        </c:scaling>
        <c:axPos val="b"/>
        <c:numFmt formatCode="General" sourceLinked="1"/>
        <c:tickLblPos val="nextTo"/>
        <c:txPr>
          <a:bodyPr/>
          <a:lstStyle/>
          <a:p>
            <a:pPr>
              <a:defRPr sz="800"/>
            </a:pPr>
            <a:endParaRPr lang="en-US"/>
          </a:p>
        </c:txPr>
        <c:crossAx val="176560384"/>
        <c:crosses val="autoZero"/>
        <c:auto val="1"/>
        <c:lblAlgn val="ctr"/>
        <c:lblOffset val="100"/>
      </c:catAx>
      <c:valAx>
        <c:axId val="176560384"/>
        <c:scaling>
          <c:orientation val="minMax"/>
        </c:scaling>
        <c:axPos val="l"/>
        <c:majorGridlines/>
        <c:title>
          <c:tx>
            <c:rich>
              <a:bodyPr rot="0" vert="horz"/>
              <a:lstStyle/>
              <a:p>
                <a:pPr>
                  <a:defRPr/>
                </a:pPr>
                <a:r>
                  <a:rPr lang="en-US"/>
                  <a:t>%</a:t>
                </a:r>
              </a:p>
            </c:rich>
          </c:tx>
          <c:layout/>
        </c:title>
        <c:numFmt formatCode="General" sourceLinked="1"/>
        <c:tickLblPos val="nextTo"/>
        <c:crossAx val="176558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Ashford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3.4825870646766171</c:v>
                </c:pt>
                <c:pt idx="2">
                  <c:v>2.9732408325074333</c:v>
                </c:pt>
                <c:pt idx="3">
                  <c:v>3.0421982335623161</c:v>
                </c:pt>
                <c:pt idx="4">
                  <c:v>3.125</c:v>
                </c:pt>
                <c:pt idx="5">
                  <c:v>2.8355387523629489</c:v>
                </c:pt>
                <c:pt idx="6">
                  <c:v>2.8003613369467026</c:v>
                </c:pt>
                <c:pt idx="7">
                  <c:v>2.9437229437229435</c:v>
                </c:pt>
                <c:pt idx="8">
                  <c:v>3.2472939217318899</c:v>
                </c:pt>
                <c:pt idx="9">
                  <c:v>3.3843674456083805</c:v>
                </c:pt>
              </c:numCache>
            </c:numRef>
          </c:val>
        </c:ser>
        <c:axId val="72130944"/>
        <c:axId val="7215334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72130944"/>
        <c:axId val="72153344"/>
      </c:lineChart>
      <c:catAx>
        <c:axId val="72130944"/>
        <c:scaling>
          <c:orientation val="minMax"/>
        </c:scaling>
        <c:axPos val="b"/>
        <c:numFmt formatCode="General" sourceLinked="1"/>
        <c:tickLblPos val="nextTo"/>
        <c:txPr>
          <a:bodyPr/>
          <a:lstStyle/>
          <a:p>
            <a:pPr>
              <a:defRPr sz="800"/>
            </a:pPr>
            <a:endParaRPr lang="en-US"/>
          </a:p>
        </c:txPr>
        <c:crossAx val="72153344"/>
        <c:crosses val="autoZero"/>
        <c:auto val="1"/>
        <c:lblAlgn val="ctr"/>
        <c:lblOffset val="100"/>
      </c:catAx>
      <c:valAx>
        <c:axId val="72153344"/>
        <c:scaling>
          <c:orientation val="minMax"/>
        </c:scaling>
        <c:axPos val="l"/>
        <c:majorGridlines/>
        <c:title>
          <c:tx>
            <c:rich>
              <a:bodyPr rot="0" vert="horz"/>
              <a:lstStyle/>
              <a:p>
                <a:pPr>
                  <a:defRPr/>
                </a:pPr>
                <a:r>
                  <a:rPr lang="en-US"/>
                  <a:t>%</a:t>
                </a:r>
              </a:p>
            </c:rich>
          </c:tx>
          <c:layout/>
        </c:title>
        <c:numFmt formatCode="General" sourceLinked="1"/>
        <c:tickLblPos val="nextTo"/>
        <c:crossAx val="7213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Ashford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7.3</c:v>
                </c:pt>
                <c:pt idx="1">
                  <c:v>6.2</c:v>
                </c:pt>
                <c:pt idx="2">
                  <c:v>5.4</c:v>
                </c:pt>
              </c:numCache>
            </c:numRef>
          </c:val>
        </c:ser>
        <c:axId val="176653824"/>
        <c:axId val="176655360"/>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653824"/>
        <c:axId val="176655360"/>
      </c:lineChart>
      <c:catAx>
        <c:axId val="176653824"/>
        <c:scaling>
          <c:orientation val="minMax"/>
        </c:scaling>
        <c:axPos val="b"/>
        <c:numFmt formatCode="General" sourceLinked="1"/>
        <c:tickLblPos val="nextTo"/>
        <c:txPr>
          <a:bodyPr/>
          <a:lstStyle/>
          <a:p>
            <a:pPr>
              <a:defRPr sz="800"/>
            </a:pPr>
            <a:endParaRPr lang="en-US"/>
          </a:p>
        </c:txPr>
        <c:crossAx val="176655360"/>
        <c:crosses val="autoZero"/>
        <c:auto val="1"/>
        <c:lblAlgn val="ctr"/>
        <c:lblOffset val="100"/>
      </c:catAx>
      <c:valAx>
        <c:axId val="176655360"/>
        <c:scaling>
          <c:orientation val="minMax"/>
        </c:scaling>
        <c:axPos val="l"/>
        <c:majorGridlines/>
        <c:title>
          <c:tx>
            <c:rich>
              <a:bodyPr rot="0" vert="horz"/>
              <a:lstStyle/>
              <a:p>
                <a:pPr>
                  <a:defRPr/>
                </a:pPr>
                <a:r>
                  <a:rPr lang="en-US"/>
                  <a:t>%</a:t>
                </a:r>
              </a:p>
            </c:rich>
          </c:tx>
          <c:layout/>
        </c:title>
        <c:numFmt formatCode="General" sourceLinked="1"/>
        <c:tickLblPos val="nextTo"/>
        <c:crossAx val="176653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Ashford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14.427860696517413</c:v>
                </c:pt>
                <c:pt idx="2">
                  <c:v>14.172447968285431</c:v>
                </c:pt>
                <c:pt idx="3">
                  <c:v>15.309126594700688</c:v>
                </c:pt>
                <c:pt idx="4">
                  <c:v>15.52734375</c:v>
                </c:pt>
                <c:pt idx="5">
                  <c:v>15.973534971644613</c:v>
                </c:pt>
                <c:pt idx="6">
                  <c:v>16.802168021680217</c:v>
                </c:pt>
                <c:pt idx="7">
                  <c:v>16.536796536796537</c:v>
                </c:pt>
                <c:pt idx="8">
                  <c:v>16.736053288925895</c:v>
                </c:pt>
                <c:pt idx="9">
                  <c:v>15.713134568896052</c:v>
                </c:pt>
              </c:numCache>
            </c:numRef>
          </c:val>
        </c:ser>
        <c:axId val="131272704"/>
        <c:axId val="1312742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31272704"/>
        <c:axId val="131274240"/>
      </c:lineChart>
      <c:catAx>
        <c:axId val="131272704"/>
        <c:scaling>
          <c:orientation val="minMax"/>
        </c:scaling>
        <c:axPos val="b"/>
        <c:numFmt formatCode="General" sourceLinked="1"/>
        <c:tickLblPos val="nextTo"/>
        <c:txPr>
          <a:bodyPr/>
          <a:lstStyle/>
          <a:p>
            <a:pPr>
              <a:defRPr sz="800"/>
            </a:pPr>
            <a:endParaRPr lang="en-US"/>
          </a:p>
        </c:txPr>
        <c:crossAx val="131274240"/>
        <c:crosses val="autoZero"/>
        <c:auto val="1"/>
        <c:lblAlgn val="ctr"/>
        <c:lblOffset val="100"/>
      </c:catAx>
      <c:valAx>
        <c:axId val="131274240"/>
        <c:scaling>
          <c:orientation val="minMax"/>
        </c:scaling>
        <c:axPos val="l"/>
        <c:majorGridlines/>
        <c:title>
          <c:tx>
            <c:rich>
              <a:bodyPr rot="0" vert="horz"/>
              <a:lstStyle/>
              <a:p>
                <a:pPr>
                  <a:defRPr/>
                </a:pPr>
                <a:r>
                  <a:rPr lang="en-US"/>
                  <a:t>%</a:t>
                </a:r>
              </a:p>
            </c:rich>
          </c:tx>
          <c:layout/>
        </c:title>
        <c:numFmt formatCode="General" sourceLinked="1"/>
        <c:tickLblPos val="nextTo"/>
        <c:crossAx val="131272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Ashford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6.4</c:v>
                </c:pt>
                <c:pt idx="1">
                  <c:v>8.9</c:v>
                </c:pt>
                <c:pt idx="2">
                  <c:v>8.9</c:v>
                </c:pt>
              </c:numCache>
            </c:numRef>
          </c:val>
        </c:ser>
        <c:axId val="176814720"/>
        <c:axId val="1766936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814720"/>
        <c:axId val="176693632"/>
      </c:lineChart>
      <c:catAx>
        <c:axId val="176814720"/>
        <c:scaling>
          <c:orientation val="minMax"/>
        </c:scaling>
        <c:axPos val="b"/>
        <c:numFmt formatCode="General" sourceLinked="1"/>
        <c:tickLblPos val="nextTo"/>
        <c:txPr>
          <a:bodyPr/>
          <a:lstStyle/>
          <a:p>
            <a:pPr>
              <a:defRPr sz="800"/>
            </a:pPr>
            <a:endParaRPr lang="en-US"/>
          </a:p>
        </c:txPr>
        <c:crossAx val="176693632"/>
        <c:crosses val="autoZero"/>
        <c:auto val="1"/>
        <c:lblAlgn val="ctr"/>
        <c:lblOffset val="100"/>
      </c:catAx>
      <c:valAx>
        <c:axId val="176693632"/>
        <c:scaling>
          <c:orientation val="minMax"/>
        </c:scaling>
        <c:axPos val="l"/>
        <c:majorGridlines/>
        <c:title>
          <c:tx>
            <c:rich>
              <a:bodyPr rot="0" vert="horz"/>
              <a:lstStyle/>
              <a:p>
                <a:pPr>
                  <a:defRPr/>
                </a:pPr>
                <a:r>
                  <a:rPr lang="en-US"/>
                  <a:t>%</a:t>
                </a:r>
              </a:p>
            </c:rich>
          </c:tx>
          <c:layout/>
        </c:title>
        <c:numFmt formatCode="General" sourceLinked="1"/>
        <c:tickLblPos val="nextTo"/>
        <c:crossAx val="17681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Ashford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8.1592039800995018</c:v>
                </c:pt>
                <c:pt idx="2">
                  <c:v>7.4331020812685829</c:v>
                </c:pt>
                <c:pt idx="3">
                  <c:v>7.3601570166830221</c:v>
                </c:pt>
                <c:pt idx="4">
                  <c:v>7.03125</c:v>
                </c:pt>
                <c:pt idx="5">
                  <c:v>7.2778827977315688</c:v>
                </c:pt>
                <c:pt idx="6">
                  <c:v>8.1300813008130088</c:v>
                </c:pt>
                <c:pt idx="7">
                  <c:v>8.4848484848484844</c:v>
                </c:pt>
                <c:pt idx="8">
                  <c:v>8.6594504579517064</c:v>
                </c:pt>
                <c:pt idx="9">
                  <c:v>8.6220789685737316</c:v>
                </c:pt>
              </c:numCache>
            </c:numRef>
          </c:val>
        </c:ser>
        <c:axId val="75229056"/>
        <c:axId val="7525580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75229056"/>
        <c:axId val="75255808"/>
      </c:lineChart>
      <c:catAx>
        <c:axId val="75229056"/>
        <c:scaling>
          <c:orientation val="minMax"/>
        </c:scaling>
        <c:axPos val="b"/>
        <c:numFmt formatCode="General" sourceLinked="1"/>
        <c:tickLblPos val="nextTo"/>
        <c:txPr>
          <a:bodyPr/>
          <a:lstStyle/>
          <a:p>
            <a:pPr>
              <a:defRPr sz="800"/>
            </a:pPr>
            <a:endParaRPr lang="en-US"/>
          </a:p>
        </c:txPr>
        <c:crossAx val="75255808"/>
        <c:crosses val="autoZero"/>
        <c:auto val="1"/>
        <c:lblAlgn val="ctr"/>
        <c:lblOffset val="100"/>
      </c:catAx>
      <c:valAx>
        <c:axId val="75255808"/>
        <c:scaling>
          <c:orientation val="minMax"/>
        </c:scaling>
        <c:axPos val="l"/>
        <c:majorGridlines/>
        <c:title>
          <c:tx>
            <c:rich>
              <a:bodyPr rot="0" vert="horz"/>
              <a:lstStyle/>
              <a:p>
                <a:pPr>
                  <a:defRPr/>
                </a:pPr>
                <a:r>
                  <a:rPr lang="en-US"/>
                  <a:t>%</a:t>
                </a:r>
              </a:p>
            </c:rich>
          </c:tx>
          <c:layout/>
        </c:title>
        <c:numFmt formatCode="General" sourceLinked="1"/>
        <c:tickLblPos val="nextTo"/>
        <c:crossAx val="75229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Ashford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3.2</c:v>
                </c:pt>
                <c:pt idx="1">
                  <c:v>3.6</c:v>
                </c:pt>
                <c:pt idx="2">
                  <c:v>3.1</c:v>
                </c:pt>
              </c:numCache>
            </c:numRef>
          </c:val>
        </c:ser>
        <c:axId val="176950656"/>
        <c:axId val="17698521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950656"/>
        <c:axId val="176985216"/>
      </c:lineChart>
      <c:catAx>
        <c:axId val="176950656"/>
        <c:scaling>
          <c:orientation val="minMax"/>
        </c:scaling>
        <c:axPos val="b"/>
        <c:numFmt formatCode="General" sourceLinked="1"/>
        <c:tickLblPos val="nextTo"/>
        <c:txPr>
          <a:bodyPr/>
          <a:lstStyle/>
          <a:p>
            <a:pPr>
              <a:defRPr sz="800"/>
            </a:pPr>
            <a:endParaRPr lang="en-US"/>
          </a:p>
        </c:txPr>
        <c:crossAx val="176985216"/>
        <c:crosses val="autoZero"/>
        <c:auto val="1"/>
        <c:lblAlgn val="ctr"/>
        <c:lblOffset val="100"/>
      </c:catAx>
      <c:valAx>
        <c:axId val="176985216"/>
        <c:scaling>
          <c:orientation val="minMax"/>
        </c:scaling>
        <c:axPos val="l"/>
        <c:majorGridlines/>
        <c:title>
          <c:tx>
            <c:rich>
              <a:bodyPr rot="0" vert="horz"/>
              <a:lstStyle/>
              <a:p>
                <a:pPr>
                  <a:defRPr/>
                </a:pPr>
                <a:r>
                  <a:rPr lang="en-US"/>
                  <a:t>%</a:t>
                </a:r>
              </a:p>
            </c:rich>
          </c:tx>
          <c:layout/>
        </c:title>
        <c:numFmt formatCode="General" sourceLinked="1"/>
        <c:tickLblPos val="nextTo"/>
        <c:crossAx val="176950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Ashford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9.950248756218906E-2</c:v>
                </c:pt>
                <c:pt idx="2">
                  <c:v>9.9108027750247768E-2</c:v>
                </c:pt>
                <c:pt idx="3">
                  <c:v>0.39254170755642787</c:v>
                </c:pt>
                <c:pt idx="4">
                  <c:v>0.5859375</c:v>
                </c:pt>
                <c:pt idx="5">
                  <c:v>0.56710775047258977</c:v>
                </c:pt>
                <c:pt idx="6">
                  <c:v>0.63233965672990067</c:v>
                </c:pt>
                <c:pt idx="7">
                  <c:v>0.60606060606060608</c:v>
                </c:pt>
                <c:pt idx="8">
                  <c:v>0.58284762697751868</c:v>
                </c:pt>
                <c:pt idx="9">
                  <c:v>0.64464141821112009</c:v>
                </c:pt>
              </c:numCache>
            </c:numRef>
          </c:val>
        </c:ser>
        <c:axId val="130902656"/>
        <c:axId val="13130137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30902656"/>
        <c:axId val="131301376"/>
      </c:lineChart>
      <c:catAx>
        <c:axId val="130902656"/>
        <c:scaling>
          <c:orientation val="minMax"/>
        </c:scaling>
        <c:axPos val="b"/>
        <c:numFmt formatCode="General" sourceLinked="1"/>
        <c:tickLblPos val="nextTo"/>
        <c:txPr>
          <a:bodyPr/>
          <a:lstStyle/>
          <a:p>
            <a:pPr>
              <a:defRPr sz="800"/>
            </a:pPr>
            <a:endParaRPr lang="en-US"/>
          </a:p>
        </c:txPr>
        <c:crossAx val="131301376"/>
        <c:crosses val="autoZero"/>
        <c:auto val="1"/>
        <c:lblAlgn val="ctr"/>
        <c:lblOffset val="100"/>
      </c:catAx>
      <c:valAx>
        <c:axId val="131301376"/>
        <c:scaling>
          <c:orientation val="minMax"/>
        </c:scaling>
        <c:axPos val="l"/>
        <c:majorGridlines/>
        <c:title>
          <c:tx>
            <c:rich>
              <a:bodyPr rot="0" vert="horz"/>
              <a:lstStyle/>
              <a:p>
                <a:pPr>
                  <a:defRPr/>
                </a:pPr>
                <a:r>
                  <a:rPr lang="en-US"/>
                  <a:t>%</a:t>
                </a:r>
              </a:p>
            </c:rich>
          </c:tx>
          <c:layout/>
        </c:title>
        <c:numFmt formatCode="General" sourceLinked="1"/>
        <c:tickLblPos val="nextTo"/>
        <c:crossAx val="130902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Ashford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7.3</c:v>
                </c:pt>
                <c:pt idx="1">
                  <c:v>7.1</c:v>
                </c:pt>
                <c:pt idx="2">
                  <c:v>7.1</c:v>
                </c:pt>
              </c:numCache>
            </c:numRef>
          </c:val>
        </c:ser>
        <c:axId val="176931200"/>
        <c:axId val="17693273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931200"/>
        <c:axId val="176932736"/>
      </c:lineChart>
      <c:catAx>
        <c:axId val="176931200"/>
        <c:scaling>
          <c:orientation val="minMax"/>
        </c:scaling>
        <c:axPos val="b"/>
        <c:numFmt formatCode="General" sourceLinked="1"/>
        <c:tickLblPos val="nextTo"/>
        <c:txPr>
          <a:bodyPr/>
          <a:lstStyle/>
          <a:p>
            <a:pPr>
              <a:defRPr sz="800"/>
            </a:pPr>
            <a:endParaRPr lang="en-US"/>
          </a:p>
        </c:txPr>
        <c:crossAx val="176932736"/>
        <c:crosses val="autoZero"/>
        <c:auto val="1"/>
        <c:lblAlgn val="ctr"/>
        <c:lblOffset val="100"/>
      </c:catAx>
      <c:valAx>
        <c:axId val="176932736"/>
        <c:scaling>
          <c:orientation val="minMax"/>
        </c:scaling>
        <c:axPos val="l"/>
        <c:majorGridlines/>
        <c:title>
          <c:tx>
            <c:rich>
              <a:bodyPr rot="0" vert="horz"/>
              <a:lstStyle/>
              <a:p>
                <a:pPr>
                  <a:defRPr/>
                </a:pPr>
                <a:r>
                  <a:rPr lang="en-US"/>
                  <a:t>%</a:t>
                </a:r>
              </a:p>
            </c:rich>
          </c:tx>
          <c:layout/>
        </c:title>
        <c:numFmt formatCode="General" sourceLinked="1"/>
        <c:tickLblPos val="nextTo"/>
        <c:crossAx val="1769312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Ashford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1.4925373134328359</c:v>
                </c:pt>
                <c:pt idx="2">
                  <c:v>1.4866204162537167</c:v>
                </c:pt>
                <c:pt idx="3">
                  <c:v>1.5701668302257115</c:v>
                </c:pt>
                <c:pt idx="4">
                  <c:v>1.3671875</c:v>
                </c:pt>
                <c:pt idx="5">
                  <c:v>1.5122873345935728</c:v>
                </c:pt>
                <c:pt idx="6">
                  <c:v>1.5356820234869015</c:v>
                </c:pt>
                <c:pt idx="7">
                  <c:v>1.5584415584415585</c:v>
                </c:pt>
                <c:pt idx="8">
                  <c:v>1.4987510407993339</c:v>
                </c:pt>
                <c:pt idx="9">
                  <c:v>1.3698630136986301</c:v>
                </c:pt>
              </c:numCache>
            </c:numRef>
          </c:val>
        </c:ser>
        <c:axId val="75707904"/>
        <c:axId val="7570944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75707904"/>
        <c:axId val="75709440"/>
      </c:lineChart>
      <c:catAx>
        <c:axId val="75707904"/>
        <c:scaling>
          <c:orientation val="minMax"/>
        </c:scaling>
        <c:axPos val="b"/>
        <c:numFmt formatCode="General" sourceLinked="1"/>
        <c:tickLblPos val="nextTo"/>
        <c:txPr>
          <a:bodyPr/>
          <a:lstStyle/>
          <a:p>
            <a:pPr>
              <a:defRPr sz="800"/>
            </a:pPr>
            <a:endParaRPr lang="en-US"/>
          </a:p>
        </c:txPr>
        <c:crossAx val="75709440"/>
        <c:crosses val="autoZero"/>
        <c:auto val="1"/>
        <c:lblAlgn val="ctr"/>
        <c:lblOffset val="100"/>
      </c:catAx>
      <c:valAx>
        <c:axId val="75709440"/>
        <c:scaling>
          <c:orientation val="minMax"/>
        </c:scaling>
        <c:axPos val="l"/>
        <c:majorGridlines/>
        <c:title>
          <c:tx>
            <c:rich>
              <a:bodyPr rot="0" vert="horz"/>
              <a:lstStyle/>
              <a:p>
                <a:pPr>
                  <a:defRPr/>
                </a:pPr>
                <a:r>
                  <a:rPr lang="en-US"/>
                  <a:t>%</a:t>
                </a:r>
              </a:p>
            </c:rich>
          </c:tx>
          <c:layout/>
        </c:title>
        <c:numFmt formatCode="General" sourceLinked="1"/>
        <c:tickLblPos val="nextTo"/>
        <c:crossAx val="757079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Ashford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416.2</c:v>
                </c:pt>
                <c:pt idx="2">
                  <c:v>442.7</c:v>
                </c:pt>
                <c:pt idx="3">
                  <c:v>462.2</c:v>
                </c:pt>
                <c:pt idx="4">
                  <c:v>472.2</c:v>
                </c:pt>
                <c:pt idx="5">
                  <c:v>467.7</c:v>
                </c:pt>
                <c:pt idx="6">
                  <c:v>476.1</c:v>
                </c:pt>
                <c:pt idx="7">
                  <c:v>469.5</c:v>
                </c:pt>
                <c:pt idx="8">
                  <c:v>493.4</c:v>
                </c:pt>
                <c:pt idx="9">
                  <c:v>541.9</c:v>
                </c:pt>
                <c:pt idx="10">
                  <c:v>523.5</c:v>
                </c:pt>
                <c:pt idx="11">
                  <c:v>543.70000000000005</c:v>
                </c:pt>
              </c:numCache>
            </c:numRef>
          </c:val>
        </c:ser>
        <c:marker val="1"/>
        <c:axId val="142984704"/>
        <c:axId val="142986240"/>
      </c:lineChart>
      <c:catAx>
        <c:axId val="142984704"/>
        <c:scaling>
          <c:orientation val="minMax"/>
        </c:scaling>
        <c:axPos val="b"/>
        <c:numFmt formatCode="General" sourceLinked="1"/>
        <c:tickLblPos val="nextTo"/>
        <c:crossAx val="142986240"/>
        <c:crosses val="autoZero"/>
        <c:auto val="1"/>
        <c:lblAlgn val="ctr"/>
        <c:lblOffset val="100"/>
      </c:catAx>
      <c:valAx>
        <c:axId val="142986240"/>
        <c:scaling>
          <c:orientation val="minMax"/>
        </c:scaling>
        <c:axPos val="l"/>
        <c:majorGridlines/>
        <c:title>
          <c:tx>
            <c:rich>
              <a:bodyPr rot="0" vert="horz"/>
              <a:lstStyle/>
              <a:p>
                <a:pPr>
                  <a:defRPr/>
                </a:pPr>
                <a:r>
                  <a:rPr lang="en-US"/>
                  <a:t>£</a:t>
                </a:r>
              </a:p>
            </c:rich>
          </c:tx>
          <c:layout/>
        </c:title>
        <c:numFmt formatCode="General" sourceLinked="1"/>
        <c:tickLblPos val="nextTo"/>
        <c:crossAx val="1429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Ashford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14.5</c:v>
                </c:pt>
                <c:pt idx="1">
                  <c:v>14.3</c:v>
                </c:pt>
                <c:pt idx="2">
                  <c:v>16.100000000000001</c:v>
                </c:pt>
              </c:numCache>
            </c:numRef>
          </c:val>
        </c:ser>
        <c:axId val="177091712"/>
        <c:axId val="17709324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7091712"/>
        <c:axId val="177093248"/>
      </c:lineChart>
      <c:catAx>
        <c:axId val="177091712"/>
        <c:scaling>
          <c:orientation val="minMax"/>
        </c:scaling>
        <c:axPos val="b"/>
        <c:numFmt formatCode="General" sourceLinked="1"/>
        <c:tickLblPos val="nextTo"/>
        <c:txPr>
          <a:bodyPr/>
          <a:lstStyle/>
          <a:p>
            <a:pPr>
              <a:defRPr sz="800"/>
            </a:pPr>
            <a:endParaRPr lang="en-US"/>
          </a:p>
        </c:txPr>
        <c:crossAx val="177093248"/>
        <c:crosses val="autoZero"/>
        <c:auto val="1"/>
        <c:lblAlgn val="ctr"/>
        <c:lblOffset val="100"/>
      </c:catAx>
      <c:valAx>
        <c:axId val="177093248"/>
        <c:scaling>
          <c:orientation val="minMax"/>
        </c:scaling>
        <c:axPos val="l"/>
        <c:majorGridlines/>
        <c:title>
          <c:tx>
            <c:rich>
              <a:bodyPr rot="0" vert="horz"/>
              <a:lstStyle/>
              <a:p>
                <a:pPr>
                  <a:defRPr/>
                </a:pPr>
                <a:r>
                  <a:rPr lang="en-US"/>
                  <a:t>%</a:t>
                </a:r>
              </a:p>
            </c:rich>
          </c:tx>
          <c:layout/>
        </c:title>
        <c:numFmt formatCode="General" sourceLinked="1"/>
        <c:tickLblPos val="nextTo"/>
        <c:crossAx val="1770917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Ashford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3.0845771144278609</c:v>
                </c:pt>
                <c:pt idx="2">
                  <c:v>3.3696729435084243</c:v>
                </c:pt>
                <c:pt idx="3">
                  <c:v>3.5328753680078506</c:v>
                </c:pt>
                <c:pt idx="4">
                  <c:v>3.61328125</c:v>
                </c:pt>
                <c:pt idx="5">
                  <c:v>3.6862003780718338</c:v>
                </c:pt>
                <c:pt idx="6">
                  <c:v>3.8843721770551038</c:v>
                </c:pt>
                <c:pt idx="7">
                  <c:v>4.2424242424242422</c:v>
                </c:pt>
                <c:pt idx="8">
                  <c:v>4.2464612822647796</c:v>
                </c:pt>
                <c:pt idx="9">
                  <c:v>3.8678485092667203</c:v>
                </c:pt>
              </c:numCache>
            </c:numRef>
          </c:val>
        </c:ser>
        <c:axId val="132594688"/>
        <c:axId val="13260953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32594688"/>
        <c:axId val="132609536"/>
      </c:lineChart>
      <c:catAx>
        <c:axId val="132594688"/>
        <c:scaling>
          <c:orientation val="minMax"/>
        </c:scaling>
        <c:axPos val="b"/>
        <c:numFmt formatCode="General" sourceLinked="1"/>
        <c:tickLblPos val="nextTo"/>
        <c:txPr>
          <a:bodyPr/>
          <a:lstStyle/>
          <a:p>
            <a:pPr>
              <a:defRPr sz="800"/>
            </a:pPr>
            <a:endParaRPr lang="en-US"/>
          </a:p>
        </c:txPr>
        <c:crossAx val="132609536"/>
        <c:crosses val="autoZero"/>
        <c:auto val="1"/>
        <c:lblAlgn val="ctr"/>
        <c:lblOffset val="100"/>
      </c:catAx>
      <c:valAx>
        <c:axId val="132609536"/>
        <c:scaling>
          <c:orientation val="minMax"/>
        </c:scaling>
        <c:axPos val="l"/>
        <c:majorGridlines/>
        <c:title>
          <c:tx>
            <c:rich>
              <a:bodyPr rot="0" vert="horz"/>
              <a:lstStyle/>
              <a:p>
                <a:pPr>
                  <a:defRPr/>
                </a:pPr>
                <a:r>
                  <a:rPr lang="en-US"/>
                  <a:t>%</a:t>
                </a:r>
              </a:p>
            </c:rich>
          </c:tx>
          <c:layout/>
        </c:title>
        <c:numFmt formatCode="General" sourceLinked="1"/>
        <c:tickLblPos val="nextTo"/>
        <c:crossAx val="132594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Ashford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4.5</c:v>
                </c:pt>
                <c:pt idx="1">
                  <c:v>5.4</c:v>
                </c:pt>
                <c:pt idx="2">
                  <c:v>5.4</c:v>
                </c:pt>
              </c:numCache>
            </c:numRef>
          </c:val>
        </c:ser>
        <c:axId val="177235072"/>
        <c:axId val="17723660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7235072"/>
        <c:axId val="177236608"/>
      </c:lineChart>
      <c:catAx>
        <c:axId val="177235072"/>
        <c:scaling>
          <c:orientation val="minMax"/>
        </c:scaling>
        <c:axPos val="b"/>
        <c:numFmt formatCode="General" sourceLinked="1"/>
        <c:tickLblPos val="nextTo"/>
        <c:txPr>
          <a:bodyPr/>
          <a:lstStyle/>
          <a:p>
            <a:pPr>
              <a:defRPr sz="800"/>
            </a:pPr>
            <a:endParaRPr lang="en-US"/>
          </a:p>
        </c:txPr>
        <c:crossAx val="177236608"/>
        <c:crosses val="autoZero"/>
        <c:auto val="1"/>
        <c:lblAlgn val="ctr"/>
        <c:lblOffset val="100"/>
      </c:catAx>
      <c:valAx>
        <c:axId val="177236608"/>
        <c:scaling>
          <c:orientation val="minMax"/>
        </c:scaling>
        <c:axPos val="l"/>
        <c:majorGridlines/>
        <c:title>
          <c:tx>
            <c:rich>
              <a:bodyPr rot="0" vert="horz"/>
              <a:lstStyle/>
              <a:p>
                <a:pPr>
                  <a:defRPr/>
                </a:pPr>
                <a:r>
                  <a:rPr lang="en-US"/>
                  <a:t>%</a:t>
                </a:r>
              </a:p>
            </c:rich>
          </c:tx>
          <c:layout/>
        </c:title>
        <c:numFmt formatCode="General" sourceLinked="1"/>
        <c:tickLblPos val="nextTo"/>
        <c:crossAx val="177235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Ashford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5.9701492537313436</c:v>
                </c:pt>
                <c:pt idx="2">
                  <c:v>5.9464816650148666</c:v>
                </c:pt>
                <c:pt idx="3">
                  <c:v>5.986261040235525</c:v>
                </c:pt>
                <c:pt idx="4">
                  <c:v>5.46875</c:v>
                </c:pt>
                <c:pt idx="5">
                  <c:v>5.2930056710775046</c:v>
                </c:pt>
                <c:pt idx="6">
                  <c:v>5.4200542005420056</c:v>
                </c:pt>
                <c:pt idx="7">
                  <c:v>5.3679653679653683</c:v>
                </c:pt>
                <c:pt idx="8">
                  <c:v>5.2456286427976684</c:v>
                </c:pt>
                <c:pt idx="9">
                  <c:v>4.9153908138597906</c:v>
                </c:pt>
              </c:numCache>
            </c:numRef>
          </c:val>
        </c:ser>
        <c:axId val="76091392"/>
        <c:axId val="760948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76091392"/>
        <c:axId val="76094848"/>
      </c:lineChart>
      <c:catAx>
        <c:axId val="76091392"/>
        <c:scaling>
          <c:orientation val="minMax"/>
        </c:scaling>
        <c:axPos val="b"/>
        <c:numFmt formatCode="General" sourceLinked="1"/>
        <c:tickLblPos val="nextTo"/>
        <c:txPr>
          <a:bodyPr/>
          <a:lstStyle/>
          <a:p>
            <a:pPr>
              <a:defRPr sz="800"/>
            </a:pPr>
            <a:endParaRPr lang="en-US"/>
          </a:p>
        </c:txPr>
        <c:crossAx val="76094848"/>
        <c:crosses val="autoZero"/>
        <c:auto val="1"/>
        <c:lblAlgn val="ctr"/>
        <c:lblOffset val="100"/>
      </c:catAx>
      <c:valAx>
        <c:axId val="76094848"/>
        <c:scaling>
          <c:orientation val="minMax"/>
        </c:scaling>
        <c:axPos val="l"/>
        <c:majorGridlines/>
        <c:title>
          <c:tx>
            <c:rich>
              <a:bodyPr rot="0" vert="horz"/>
              <a:lstStyle/>
              <a:p>
                <a:pPr>
                  <a:defRPr/>
                </a:pPr>
                <a:r>
                  <a:rPr lang="en-US"/>
                  <a:t>%</a:t>
                </a:r>
              </a:p>
            </c:rich>
          </c:tx>
          <c:layout/>
        </c:title>
        <c:numFmt formatCode="General" sourceLinked="1"/>
        <c:tickLblPos val="nextTo"/>
        <c:crossAx val="760913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Ashford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67.593594658546877</c:v>
                </c:pt>
                <c:pt idx="1">
                  <c:v>66.922337699316628</c:v>
                </c:pt>
                <c:pt idx="2">
                  <c:v>65.564016291836367</c:v>
                </c:pt>
              </c:numCache>
            </c:numRef>
          </c:val>
        </c:ser>
        <c:marker val="1"/>
        <c:axId val="140192384"/>
        <c:axId val="140223232"/>
      </c:lineChart>
      <c:catAx>
        <c:axId val="140192384"/>
        <c:scaling>
          <c:orientation val="minMax"/>
        </c:scaling>
        <c:axPos val="b"/>
        <c:numFmt formatCode="General" sourceLinked="1"/>
        <c:tickLblPos val="nextTo"/>
        <c:txPr>
          <a:bodyPr/>
          <a:lstStyle/>
          <a:p>
            <a:pPr>
              <a:defRPr sz="800"/>
            </a:pPr>
            <a:endParaRPr lang="en-US"/>
          </a:p>
        </c:txPr>
        <c:crossAx val="140223232"/>
        <c:crosses val="autoZero"/>
        <c:auto val="1"/>
        <c:lblAlgn val="ctr"/>
        <c:lblOffset val="100"/>
      </c:catAx>
      <c:valAx>
        <c:axId val="140223232"/>
        <c:scaling>
          <c:orientation val="minMax"/>
        </c:scaling>
        <c:axPos val="l"/>
        <c:majorGridlines/>
        <c:title>
          <c:tx>
            <c:rich>
              <a:bodyPr rot="0" vert="horz"/>
              <a:lstStyle/>
              <a:p>
                <a:pPr>
                  <a:defRPr/>
                </a:pPr>
                <a:r>
                  <a:rPr lang="en-US"/>
                  <a:t>%</a:t>
                </a:r>
              </a:p>
            </c:rich>
          </c:tx>
          <c:layout/>
        </c:title>
        <c:numFmt formatCode="0.00" sourceLinked="1"/>
        <c:tickLblPos val="nextTo"/>
        <c:crossAx val="140192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Ashford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32.408239631674526</c:v>
                </c:pt>
                <c:pt idx="1">
                  <c:v>33.077662300683372</c:v>
                </c:pt>
                <c:pt idx="2">
                  <c:v>34.435983708163626</c:v>
                </c:pt>
              </c:numCache>
            </c:numRef>
          </c:val>
        </c:ser>
        <c:marker val="1"/>
        <c:axId val="131445888"/>
        <c:axId val="131459712"/>
      </c:lineChart>
      <c:catAx>
        <c:axId val="131445888"/>
        <c:scaling>
          <c:orientation val="minMax"/>
        </c:scaling>
        <c:axPos val="b"/>
        <c:numFmt formatCode="General" sourceLinked="1"/>
        <c:tickLblPos val="nextTo"/>
        <c:txPr>
          <a:bodyPr/>
          <a:lstStyle/>
          <a:p>
            <a:pPr>
              <a:defRPr sz="800"/>
            </a:pPr>
            <a:endParaRPr lang="en-US"/>
          </a:p>
        </c:txPr>
        <c:crossAx val="131459712"/>
        <c:crosses val="autoZero"/>
        <c:auto val="1"/>
        <c:lblAlgn val="ctr"/>
        <c:lblOffset val="100"/>
      </c:catAx>
      <c:valAx>
        <c:axId val="131459712"/>
        <c:scaling>
          <c:orientation val="minMax"/>
        </c:scaling>
        <c:axPos val="l"/>
        <c:majorGridlines/>
        <c:title>
          <c:tx>
            <c:rich>
              <a:bodyPr rot="0" vert="horz"/>
              <a:lstStyle/>
              <a:p>
                <a:pPr>
                  <a:defRPr/>
                </a:pPr>
                <a:r>
                  <a:rPr lang="en-US"/>
                  <a:t>%</a:t>
                </a:r>
              </a:p>
            </c:rich>
          </c:tx>
          <c:layout/>
        </c:title>
        <c:numFmt formatCode="General" sourceLinked="1"/>
        <c:tickLblPos val="nextTo"/>
        <c:crossAx val="1314458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Ashford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17.849478144432013</c:v>
                </c:pt>
                <c:pt idx="1">
                  <c:v>17.789009111617311</c:v>
                </c:pt>
                <c:pt idx="2">
                  <c:v>17.733309721976269</c:v>
                </c:pt>
              </c:numCache>
            </c:numRef>
          </c:val>
        </c:ser>
        <c:marker val="1"/>
        <c:axId val="157780992"/>
        <c:axId val="157782784"/>
      </c:lineChart>
      <c:catAx>
        <c:axId val="157780992"/>
        <c:scaling>
          <c:orientation val="minMax"/>
        </c:scaling>
        <c:axPos val="b"/>
        <c:numFmt formatCode="General" sourceLinked="1"/>
        <c:tickLblPos val="nextTo"/>
        <c:crossAx val="157782784"/>
        <c:crosses val="autoZero"/>
        <c:auto val="1"/>
        <c:lblAlgn val="ctr"/>
        <c:lblOffset val="100"/>
      </c:catAx>
      <c:valAx>
        <c:axId val="157782784"/>
        <c:scaling>
          <c:orientation val="minMax"/>
        </c:scaling>
        <c:axPos val="l"/>
        <c:majorGridlines/>
        <c:title>
          <c:tx>
            <c:rich>
              <a:bodyPr rot="0" vert="horz"/>
              <a:lstStyle/>
              <a:p>
                <a:pPr>
                  <a:defRPr/>
                </a:pPr>
                <a:r>
                  <a:rPr lang="en-US"/>
                  <a:t>%</a:t>
                </a:r>
              </a:p>
            </c:rich>
          </c:tx>
          <c:layout/>
        </c:title>
        <c:numFmt formatCode="General" sourceLinked="1"/>
        <c:tickLblPos val="nextTo"/>
        <c:crossAx val="1577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Ashford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64.474360291850786</c:v>
                </c:pt>
                <c:pt idx="1">
                  <c:v>65.186074429771907</c:v>
                </c:pt>
                <c:pt idx="2">
                  <c:v>64.849211104453758</c:v>
                </c:pt>
              </c:numCache>
            </c:numRef>
          </c:val>
        </c:ser>
        <c:marker val="1"/>
        <c:axId val="157001984"/>
        <c:axId val="157520640"/>
      </c:lineChart>
      <c:catAx>
        <c:axId val="157001984"/>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layout/>
        </c:title>
        <c:numFmt formatCode="General" sourceLinked="1"/>
        <c:tickLblPos val="nextTo"/>
        <c:crossAx val="15700198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Ashford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35.515363272017261</c:v>
                </c:pt>
                <c:pt idx="1">
                  <c:v>34.803921568627452</c:v>
                </c:pt>
                <c:pt idx="2">
                  <c:v>35.150788895546235</c:v>
                </c:pt>
              </c:numCache>
            </c:numRef>
          </c:val>
        </c:ser>
        <c:marker val="1"/>
        <c:axId val="118666368"/>
        <c:axId val="118692864"/>
      </c:lineChart>
      <c:catAx>
        <c:axId val="118666368"/>
        <c:scaling>
          <c:orientation val="minMax"/>
        </c:scaling>
        <c:axPos val="b"/>
        <c:numFmt formatCode="General" sourceLinked="1"/>
        <c:tickLblPos val="nextTo"/>
        <c:txPr>
          <a:bodyPr/>
          <a:lstStyle/>
          <a:p>
            <a:pPr>
              <a:defRPr sz="800"/>
            </a:pPr>
            <a:endParaRPr lang="en-US"/>
          </a:p>
        </c:txPr>
        <c:crossAx val="118692864"/>
        <c:crosses val="autoZero"/>
        <c:auto val="1"/>
        <c:lblAlgn val="ctr"/>
        <c:lblOffset val="100"/>
      </c:catAx>
      <c:valAx>
        <c:axId val="118692864"/>
        <c:scaling>
          <c:orientation val="minMax"/>
        </c:scaling>
        <c:axPos val="l"/>
        <c:majorGridlines/>
        <c:title>
          <c:tx>
            <c:rich>
              <a:bodyPr rot="0" vert="horz"/>
              <a:lstStyle/>
              <a:p>
                <a:pPr>
                  <a:defRPr/>
                </a:pPr>
                <a:r>
                  <a:rPr lang="en-US"/>
                  <a:t>%</a:t>
                </a:r>
              </a:p>
            </c:rich>
          </c:tx>
          <c:layout/>
        </c:title>
        <c:numFmt formatCode="General" sourceLinked="1"/>
        <c:tickLblPos val="nextTo"/>
        <c:crossAx val="11866636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Ashford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82.152356145789383</c:v>
                </c:pt>
                <c:pt idx="1">
                  <c:v>82.212770501138948</c:v>
                </c:pt>
                <c:pt idx="2">
                  <c:v>82.266690278023731</c:v>
                </c:pt>
              </c:numCache>
            </c:numRef>
          </c:val>
        </c:ser>
        <c:marker val="1"/>
        <c:axId val="132748800"/>
        <c:axId val="132769280"/>
      </c:lineChart>
      <c:catAx>
        <c:axId val="132748800"/>
        <c:scaling>
          <c:orientation val="minMax"/>
        </c:scaling>
        <c:axPos val="b"/>
        <c:numFmt formatCode="General" sourceLinked="1"/>
        <c:tickLblPos val="nextTo"/>
        <c:crossAx val="132769280"/>
        <c:crosses val="autoZero"/>
        <c:auto val="1"/>
        <c:lblAlgn val="ctr"/>
        <c:lblOffset val="100"/>
      </c:catAx>
      <c:valAx>
        <c:axId val="132769280"/>
        <c:scaling>
          <c:orientation val="minMax"/>
        </c:scaling>
        <c:axPos val="l"/>
        <c:majorGridlines/>
        <c:title>
          <c:tx>
            <c:rich>
              <a:bodyPr rot="0" vert="horz"/>
              <a:lstStyle/>
              <a:p>
                <a:pPr>
                  <a:defRPr/>
                </a:pPr>
                <a:r>
                  <a:rPr lang="en-US"/>
                  <a:t>%</a:t>
                </a:r>
              </a:p>
            </c:rich>
          </c:tx>
          <c:layout/>
        </c:title>
        <c:numFmt formatCode="General" sourceLinked="1"/>
        <c:tickLblPos val="nextTo"/>
        <c:crossAx val="1327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2.7</c:v>
                </c:pt>
                <c:pt idx="1">
                  <c:v>1.1000000000000001</c:v>
                </c:pt>
                <c:pt idx="2">
                  <c:v>12.2</c:v>
                </c:pt>
                <c:pt idx="3">
                  <c:v>5.4</c:v>
                </c:pt>
                <c:pt idx="4">
                  <c:v>3.4</c:v>
                </c:pt>
                <c:pt idx="5">
                  <c:v>9.5</c:v>
                </c:pt>
                <c:pt idx="6">
                  <c:v>6.8</c:v>
                </c:pt>
                <c:pt idx="7">
                  <c:v>6.1</c:v>
                </c:pt>
                <c:pt idx="8">
                  <c:v>4.0999999999999996</c:v>
                </c:pt>
                <c:pt idx="9">
                  <c:v>3.4</c:v>
                </c:pt>
                <c:pt idx="10">
                  <c:v>1.6</c:v>
                </c:pt>
                <c:pt idx="11">
                  <c:v>1.1000000000000001</c:v>
                </c:pt>
                <c:pt idx="12">
                  <c:v>8.1</c:v>
                </c:pt>
                <c:pt idx="13">
                  <c:v>6.1</c:v>
                </c:pt>
                <c:pt idx="14">
                  <c:v>3.4</c:v>
                </c:pt>
                <c:pt idx="15">
                  <c:v>6.1</c:v>
                </c:pt>
                <c:pt idx="16">
                  <c:v>13.5</c:v>
                </c:pt>
                <c:pt idx="17">
                  <c:v>4.7</c:v>
                </c:pt>
              </c:numCache>
            </c:numRef>
          </c:val>
        </c:ser>
        <c:ser>
          <c:idx val="7"/>
          <c:order val="1"/>
          <c:tx>
            <c:strRef>
              <c:f>'front page'!$AM$19</c:f>
              <c:strCache>
                <c:ptCount val="1"/>
                <c:pt idx="0">
                  <c:v>2016</c:v>
                </c:pt>
              </c:strCache>
            </c:strRef>
          </c:tx>
          <c:val>
            <c:numRef>
              <c:f>'front page'!$AM$20:$AM$37</c:f>
              <c:numCache>
                <c:formatCode>General</c:formatCode>
                <c:ptCount val="18"/>
                <c:pt idx="0">
                  <c:v>2.4</c:v>
                </c:pt>
                <c:pt idx="1">
                  <c:v>1.3</c:v>
                </c:pt>
                <c:pt idx="2">
                  <c:v>11.8</c:v>
                </c:pt>
                <c:pt idx="3">
                  <c:v>5.3</c:v>
                </c:pt>
                <c:pt idx="4">
                  <c:v>2.6</c:v>
                </c:pt>
                <c:pt idx="5">
                  <c:v>10.5</c:v>
                </c:pt>
                <c:pt idx="6">
                  <c:v>6.6</c:v>
                </c:pt>
                <c:pt idx="7">
                  <c:v>6.6</c:v>
                </c:pt>
                <c:pt idx="8">
                  <c:v>3.9</c:v>
                </c:pt>
                <c:pt idx="9">
                  <c:v>3.3</c:v>
                </c:pt>
                <c:pt idx="10">
                  <c:v>1.2</c:v>
                </c:pt>
                <c:pt idx="11">
                  <c:v>1.3</c:v>
                </c:pt>
                <c:pt idx="12">
                  <c:v>6.6</c:v>
                </c:pt>
                <c:pt idx="13">
                  <c:v>7.9</c:v>
                </c:pt>
                <c:pt idx="14">
                  <c:v>3.9</c:v>
                </c:pt>
                <c:pt idx="15">
                  <c:v>6.6</c:v>
                </c:pt>
                <c:pt idx="16">
                  <c:v>13.2</c:v>
                </c:pt>
                <c:pt idx="17">
                  <c:v>4.5999999999999996</c:v>
                </c:pt>
              </c:numCache>
            </c:numRef>
          </c:val>
        </c:ser>
        <c:ser>
          <c:idx val="0"/>
          <c:order val="2"/>
          <c:tx>
            <c:strRef>
              <c:f>'front page'!$AN$19</c:f>
              <c:strCache>
                <c:ptCount val="1"/>
                <c:pt idx="0">
                  <c:v>2017</c:v>
                </c:pt>
              </c:strCache>
            </c:strRef>
          </c:tx>
          <c:val>
            <c:numRef>
              <c:f>'front page'!$AN$20:$AN$37</c:f>
              <c:numCache>
                <c:formatCode>General</c:formatCode>
                <c:ptCount val="18"/>
                <c:pt idx="0">
                  <c:v>2.7</c:v>
                </c:pt>
                <c:pt idx="1">
                  <c:v>1.6</c:v>
                </c:pt>
                <c:pt idx="2">
                  <c:v>12.2</c:v>
                </c:pt>
                <c:pt idx="3">
                  <c:v>6.8</c:v>
                </c:pt>
                <c:pt idx="4">
                  <c:v>3.4</c:v>
                </c:pt>
                <c:pt idx="5">
                  <c:v>9.5</c:v>
                </c:pt>
                <c:pt idx="6">
                  <c:v>6.8</c:v>
                </c:pt>
                <c:pt idx="7">
                  <c:v>6.8</c:v>
                </c:pt>
                <c:pt idx="8">
                  <c:v>4.0999999999999996</c:v>
                </c:pt>
                <c:pt idx="9">
                  <c:v>2.7</c:v>
                </c:pt>
                <c:pt idx="10">
                  <c:v>1.2</c:v>
                </c:pt>
                <c:pt idx="11">
                  <c:v>1.4</c:v>
                </c:pt>
                <c:pt idx="12">
                  <c:v>5.4</c:v>
                </c:pt>
                <c:pt idx="13">
                  <c:v>8.1</c:v>
                </c:pt>
                <c:pt idx="14">
                  <c:v>3.4</c:v>
                </c:pt>
                <c:pt idx="15">
                  <c:v>6.1</c:v>
                </c:pt>
                <c:pt idx="16">
                  <c:v>13.5</c:v>
                </c:pt>
                <c:pt idx="17">
                  <c:v>4.7</c:v>
                </c:pt>
              </c:numCache>
            </c:numRef>
          </c:val>
        </c:ser>
        <c:axId val="175250816"/>
        <c:axId val="175391872"/>
      </c:barChart>
      <c:catAx>
        <c:axId val="175250816"/>
        <c:scaling>
          <c:orientation val="minMax"/>
        </c:scaling>
        <c:axPos val="b"/>
        <c:numFmt formatCode="General" sourceLinked="1"/>
        <c:tickLblPos val="nextTo"/>
        <c:txPr>
          <a:bodyPr/>
          <a:lstStyle/>
          <a:p>
            <a:pPr>
              <a:defRPr sz="900"/>
            </a:pPr>
            <a:endParaRPr lang="en-US"/>
          </a:p>
        </c:txPr>
        <c:crossAx val="175391872"/>
        <c:crosses val="autoZero"/>
        <c:auto val="1"/>
        <c:lblAlgn val="ctr"/>
        <c:lblOffset val="100"/>
      </c:catAx>
      <c:valAx>
        <c:axId val="175391872"/>
        <c:scaling>
          <c:orientation val="minMax"/>
        </c:scaling>
        <c:axPos val="l"/>
        <c:majorGridlines/>
        <c:title>
          <c:tx>
            <c:rich>
              <a:bodyPr rot="0" vert="horz"/>
              <a:lstStyle/>
              <a:p>
                <a:pPr>
                  <a:defRPr/>
                </a:pPr>
                <a:r>
                  <a:rPr lang="en-US"/>
                  <a:t>%</a:t>
                </a:r>
              </a:p>
            </c:rich>
          </c:tx>
          <c:layout/>
        </c:title>
        <c:numFmt formatCode="General" sourceLinked="1"/>
        <c:tickLblPos val="nextTo"/>
        <c:crossAx val="17525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Ashford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68.267577645298857</c:v>
                </c:pt>
                <c:pt idx="1">
                  <c:v>67.296577699850644</c:v>
                </c:pt>
                <c:pt idx="2">
                  <c:v>65.718098846220073</c:v>
                </c:pt>
              </c:numCache>
            </c:numRef>
          </c:val>
        </c:ser>
        <c:marker val="1"/>
        <c:axId val="156676864"/>
        <c:axId val="156689920"/>
      </c:lineChart>
      <c:catAx>
        <c:axId val="156676864"/>
        <c:scaling>
          <c:orientation val="minMax"/>
        </c:scaling>
        <c:axPos val="b"/>
        <c:numFmt formatCode="General" sourceLinked="1"/>
        <c:tickLblPos val="nextTo"/>
        <c:txPr>
          <a:bodyPr/>
          <a:lstStyle/>
          <a:p>
            <a:pPr>
              <a:defRPr sz="800"/>
            </a:pPr>
            <a:endParaRPr lang="en-US"/>
          </a:p>
        </c:txPr>
        <c:crossAx val="156689920"/>
        <c:crosses val="autoZero"/>
        <c:auto val="1"/>
        <c:lblAlgn val="ctr"/>
        <c:lblOffset val="100"/>
      </c:catAx>
      <c:valAx>
        <c:axId val="156689920"/>
        <c:scaling>
          <c:orientation val="minMax"/>
        </c:scaling>
        <c:axPos val="l"/>
        <c:majorGridlines/>
        <c:title>
          <c:tx>
            <c:rich>
              <a:bodyPr rot="0" vert="horz"/>
              <a:lstStyle/>
              <a:p>
                <a:pPr>
                  <a:defRPr/>
                </a:pPr>
                <a:r>
                  <a:rPr lang="en-US"/>
                  <a:t>%</a:t>
                </a:r>
              </a:p>
            </c:rich>
          </c:tx>
          <c:layout/>
        </c:title>
        <c:numFmt formatCode="General" sourceLinked="1"/>
        <c:tickLblPos val="nextTo"/>
        <c:crossAx val="15667686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Ashford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31.732422354701139</c:v>
                </c:pt>
                <c:pt idx="1">
                  <c:v>32.703422300149363</c:v>
                </c:pt>
                <c:pt idx="2">
                  <c:v>34.28190115377992</c:v>
                </c:pt>
              </c:numCache>
            </c:numRef>
          </c:val>
        </c:ser>
        <c:marker val="1"/>
        <c:axId val="134612480"/>
        <c:axId val="134614400"/>
      </c:lineChart>
      <c:catAx>
        <c:axId val="134612480"/>
        <c:scaling>
          <c:orientation val="minMax"/>
        </c:scaling>
        <c:axPos val="b"/>
        <c:numFmt formatCode="General" sourceLinked="1"/>
        <c:tickLblPos val="nextTo"/>
        <c:txPr>
          <a:bodyPr/>
          <a:lstStyle/>
          <a:p>
            <a:pPr>
              <a:defRPr sz="800"/>
            </a:pPr>
            <a:endParaRPr lang="en-US"/>
          </a:p>
        </c:txPr>
        <c:crossAx val="134614400"/>
        <c:crosses val="autoZero"/>
        <c:auto val="1"/>
        <c:lblAlgn val="ctr"/>
        <c:lblOffset val="100"/>
      </c:catAx>
      <c:valAx>
        <c:axId val="134614400"/>
        <c:scaling>
          <c:orientation val="minMax"/>
        </c:scaling>
        <c:axPos val="l"/>
        <c:majorGridlines/>
        <c:title>
          <c:tx>
            <c:rich>
              <a:bodyPr rot="0" vert="horz"/>
              <a:lstStyle/>
              <a:p>
                <a:pPr>
                  <a:defRPr/>
                </a:pPr>
                <a:r>
                  <a:rPr lang="en-US"/>
                  <a:t>%</a:t>
                </a:r>
              </a:p>
            </c:rich>
          </c:tx>
          <c:layout/>
        </c:title>
        <c:numFmt formatCode="General" sourceLinked="1"/>
        <c:tickLblPos val="nextTo"/>
        <c:crossAx val="134612480"/>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Ashford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0.83</c:v>
                </c:pt>
                <c:pt idx="2">
                  <c:v>0.81</c:v>
                </c:pt>
                <c:pt idx="3">
                  <c:v>0.89</c:v>
                </c:pt>
                <c:pt idx="4">
                  <c:v>0.91</c:v>
                </c:pt>
              </c:numCache>
            </c:numRef>
          </c:val>
        </c:ser>
        <c:axId val="173765760"/>
        <c:axId val="19599475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3765760"/>
        <c:axId val="195994752"/>
      </c:lineChart>
      <c:catAx>
        <c:axId val="173765760"/>
        <c:scaling>
          <c:orientation val="minMax"/>
        </c:scaling>
        <c:axPos val="b"/>
        <c:numFmt formatCode="General" sourceLinked="1"/>
        <c:tickLblPos val="nextTo"/>
        <c:crossAx val="195994752"/>
        <c:crosses val="autoZero"/>
        <c:auto val="1"/>
        <c:lblAlgn val="ctr"/>
        <c:lblOffset val="100"/>
      </c:catAx>
      <c:valAx>
        <c:axId val="19599475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37657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Ashford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19.7</c:v>
                </c:pt>
                <c:pt idx="2">
                  <c:v>21.2</c:v>
                </c:pt>
                <c:pt idx="3">
                  <c:v>23.5</c:v>
                </c:pt>
                <c:pt idx="4">
                  <c:v>20</c:v>
                </c:pt>
                <c:pt idx="5">
                  <c:v>22.6</c:v>
                </c:pt>
                <c:pt idx="6">
                  <c:v>23.1</c:v>
                </c:pt>
                <c:pt idx="7">
                  <c:v>21.5</c:v>
                </c:pt>
                <c:pt idx="8">
                  <c:v>18.399999999999999</c:v>
                </c:pt>
                <c:pt idx="9">
                  <c:v>17.7</c:v>
                </c:pt>
                <c:pt idx="10">
                  <c:v>15.4</c:v>
                </c:pt>
                <c:pt idx="11">
                  <c:v>15.4</c:v>
                </c:pt>
                <c:pt idx="12">
                  <c:v>19.7</c:v>
                </c:pt>
                <c:pt idx="13">
                  <c:v>19.5</c:v>
                </c:pt>
                <c:pt idx="14">
                  <c:v>21</c:v>
                </c:pt>
                <c:pt idx="15">
                  <c:v>19.899999999999999</c:v>
                </c:pt>
                <c:pt idx="16">
                  <c:v>18.899999999999999</c:v>
                </c:pt>
                <c:pt idx="17">
                  <c:v>19.2</c:v>
                </c:pt>
                <c:pt idx="18">
                  <c:v>20.7</c:v>
                </c:pt>
                <c:pt idx="19">
                  <c:v>19.899999999999999</c:v>
                </c:pt>
                <c:pt idx="20">
                  <c:v>19.8</c:v>
                </c:pt>
                <c:pt idx="21">
                  <c:v>20.100000000000001</c:v>
                </c:pt>
                <c:pt idx="22">
                  <c:v>18.600000000000001</c:v>
                </c:pt>
                <c:pt idx="23">
                  <c:v>16</c:v>
                </c:pt>
                <c:pt idx="24">
                  <c:v>15.7</c:v>
                </c:pt>
                <c:pt idx="25">
                  <c:v>16.7</c:v>
                </c:pt>
                <c:pt idx="26">
                  <c:v>12.3</c:v>
                </c:pt>
                <c:pt idx="27">
                  <c:v>22.2</c:v>
                </c:pt>
                <c:pt idx="28">
                  <c:v>21.1</c:v>
                </c:pt>
                <c:pt idx="29">
                  <c:v>18.899999999999999</c:v>
                </c:pt>
              </c:numCache>
            </c:numRef>
          </c:val>
        </c:ser>
        <c:axId val="173490944"/>
        <c:axId val="1734928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3490944"/>
        <c:axId val="173492864"/>
      </c:lineChart>
      <c:catAx>
        <c:axId val="173490944"/>
        <c:scaling>
          <c:orientation val="minMax"/>
        </c:scaling>
        <c:axPos val="b"/>
        <c:tickLblPos val="nextTo"/>
        <c:txPr>
          <a:bodyPr/>
          <a:lstStyle/>
          <a:p>
            <a:pPr>
              <a:defRPr sz="1000"/>
            </a:pPr>
            <a:endParaRPr lang="en-US"/>
          </a:p>
        </c:txPr>
        <c:crossAx val="173492864"/>
        <c:crosses val="autoZero"/>
        <c:auto val="1"/>
        <c:lblAlgn val="ctr"/>
        <c:lblOffset val="100"/>
      </c:catAx>
      <c:valAx>
        <c:axId val="173492864"/>
        <c:scaling>
          <c:orientation val="minMax"/>
        </c:scaling>
        <c:axPos val="l"/>
        <c:majorGridlines/>
        <c:title>
          <c:tx>
            <c:rich>
              <a:bodyPr rot="0" vert="horz"/>
              <a:lstStyle/>
              <a:p>
                <a:pPr>
                  <a:defRPr/>
                </a:pPr>
                <a:r>
                  <a:rPr lang="en-US"/>
                  <a:t>%</a:t>
                </a:r>
              </a:p>
            </c:rich>
          </c:tx>
          <c:layout/>
        </c:title>
        <c:numFmt formatCode="General" sourceLinked="1"/>
        <c:tickLblPos val="nextTo"/>
        <c:crossAx val="17349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Ashford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70.2</c:v>
                </c:pt>
                <c:pt idx="2">
                  <c:v>75.7</c:v>
                </c:pt>
                <c:pt idx="3">
                  <c:v>75.2</c:v>
                </c:pt>
                <c:pt idx="4">
                  <c:v>81.400000000000006</c:v>
                </c:pt>
                <c:pt idx="5">
                  <c:v>71.099999999999994</c:v>
                </c:pt>
                <c:pt idx="6">
                  <c:v>67.7</c:v>
                </c:pt>
                <c:pt idx="7">
                  <c:v>59.9</c:v>
                </c:pt>
                <c:pt idx="8">
                  <c:v>59.8</c:v>
                </c:pt>
                <c:pt idx="9">
                  <c:v>67.099999999999994</c:v>
                </c:pt>
                <c:pt idx="10">
                  <c:v>69.2</c:v>
                </c:pt>
                <c:pt idx="11">
                  <c:v>71</c:v>
                </c:pt>
                <c:pt idx="12">
                  <c:v>76.099999999999994</c:v>
                </c:pt>
                <c:pt idx="13">
                  <c:v>71.900000000000006</c:v>
                </c:pt>
                <c:pt idx="14">
                  <c:v>72.900000000000006</c:v>
                </c:pt>
                <c:pt idx="15">
                  <c:v>75.7</c:v>
                </c:pt>
                <c:pt idx="16">
                  <c:v>62.9</c:v>
                </c:pt>
                <c:pt idx="17">
                  <c:v>59.8</c:v>
                </c:pt>
                <c:pt idx="18">
                  <c:v>54.6</c:v>
                </c:pt>
                <c:pt idx="19">
                  <c:v>52.9</c:v>
                </c:pt>
                <c:pt idx="20">
                  <c:v>54.7</c:v>
                </c:pt>
                <c:pt idx="21">
                  <c:v>65.099999999999994</c:v>
                </c:pt>
                <c:pt idx="22">
                  <c:v>69.8</c:v>
                </c:pt>
                <c:pt idx="23">
                  <c:v>77</c:v>
                </c:pt>
                <c:pt idx="24">
                  <c:v>76.400000000000006</c:v>
                </c:pt>
                <c:pt idx="25">
                  <c:v>75.900000000000006</c:v>
                </c:pt>
                <c:pt idx="26">
                  <c:v>77.900000000000006</c:v>
                </c:pt>
                <c:pt idx="27">
                  <c:v>77.599999999999994</c:v>
                </c:pt>
                <c:pt idx="28">
                  <c:v>80.8</c:v>
                </c:pt>
                <c:pt idx="29">
                  <c:v>76.3</c:v>
                </c:pt>
              </c:numCache>
            </c:numRef>
          </c:val>
        </c:ser>
        <c:axId val="172439040"/>
        <c:axId val="17244057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439040"/>
        <c:axId val="172440576"/>
      </c:lineChart>
      <c:catAx>
        <c:axId val="172439040"/>
        <c:scaling>
          <c:orientation val="minMax"/>
        </c:scaling>
        <c:axPos val="b"/>
        <c:tickLblPos val="nextTo"/>
        <c:crossAx val="172440576"/>
        <c:crosses val="autoZero"/>
        <c:auto val="1"/>
        <c:lblAlgn val="ctr"/>
        <c:lblOffset val="100"/>
      </c:catAx>
      <c:valAx>
        <c:axId val="172440576"/>
        <c:scaling>
          <c:orientation val="minMax"/>
        </c:scaling>
        <c:axPos val="l"/>
        <c:majorGridlines/>
        <c:title>
          <c:tx>
            <c:rich>
              <a:bodyPr rot="0" vert="horz"/>
              <a:lstStyle/>
              <a:p>
                <a:pPr>
                  <a:defRPr/>
                </a:pPr>
                <a:r>
                  <a:rPr lang="en-US"/>
                  <a:t>%</a:t>
                </a:r>
              </a:p>
            </c:rich>
          </c:tx>
          <c:layout/>
        </c:title>
        <c:numFmt formatCode="General" sourceLinked="1"/>
        <c:tickLblPos val="nextTo"/>
        <c:crossAx val="17243904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Ashford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2.1</c:v>
                </c:pt>
                <c:pt idx="2">
                  <c:v>2.1</c:v>
                </c:pt>
                <c:pt idx="3">
                  <c:v>2</c:v>
                </c:pt>
                <c:pt idx="4">
                  <c:v>2</c:v>
                </c:pt>
                <c:pt idx="5">
                  <c:v>2</c:v>
                </c:pt>
                <c:pt idx="6">
                  <c:v>2</c:v>
                </c:pt>
                <c:pt idx="7">
                  <c:v>1.9</c:v>
                </c:pt>
                <c:pt idx="8">
                  <c:v>1.9</c:v>
                </c:pt>
                <c:pt idx="9">
                  <c:v>1.8</c:v>
                </c:pt>
                <c:pt idx="10">
                  <c:v>1.7</c:v>
                </c:pt>
                <c:pt idx="11">
                  <c:v>1.6</c:v>
                </c:pt>
                <c:pt idx="12">
                  <c:v>1.5</c:v>
                </c:pt>
                <c:pt idx="13">
                  <c:v>1.4</c:v>
                </c:pt>
                <c:pt idx="14">
                  <c:v>1.4</c:v>
                </c:pt>
                <c:pt idx="15">
                  <c:v>1.4</c:v>
                </c:pt>
                <c:pt idx="16">
                  <c:v>1.3</c:v>
                </c:pt>
                <c:pt idx="17">
                  <c:v>1.4</c:v>
                </c:pt>
                <c:pt idx="18">
                  <c:v>1.5</c:v>
                </c:pt>
                <c:pt idx="19">
                  <c:v>1.4</c:v>
                </c:pt>
                <c:pt idx="20">
                  <c:v>1.4</c:v>
                </c:pt>
                <c:pt idx="21">
                  <c:v>1.3</c:v>
                </c:pt>
                <c:pt idx="22">
                  <c:v>1.2</c:v>
                </c:pt>
                <c:pt idx="23">
                  <c:v>1.2</c:v>
                </c:pt>
                <c:pt idx="24">
                  <c:v>1.3</c:v>
                </c:pt>
                <c:pt idx="25">
                  <c:v>1.3</c:v>
                </c:pt>
                <c:pt idx="26">
                  <c:v>1.3</c:v>
                </c:pt>
                <c:pt idx="27">
                  <c:v>1.3</c:v>
                </c:pt>
                <c:pt idx="28">
                  <c:v>1.3</c:v>
                </c:pt>
                <c:pt idx="29">
                  <c:v>1.4</c:v>
                </c:pt>
                <c:pt idx="30">
                  <c:v>1.4</c:v>
                </c:pt>
                <c:pt idx="31">
                  <c:v>1.5</c:v>
                </c:pt>
                <c:pt idx="32">
                  <c:v>1.5</c:v>
                </c:pt>
                <c:pt idx="33">
                  <c:v>1.5</c:v>
                </c:pt>
                <c:pt idx="34">
                  <c:v>1.4</c:v>
                </c:pt>
                <c:pt idx="35">
                  <c:v>1.5</c:v>
                </c:pt>
                <c:pt idx="36">
                  <c:v>1.5</c:v>
                </c:pt>
                <c:pt idx="37">
                  <c:v>1.5</c:v>
                </c:pt>
                <c:pt idx="38">
                  <c:v>1.5</c:v>
                </c:pt>
                <c:pt idx="39">
                  <c:v>1.5</c:v>
                </c:pt>
                <c:pt idx="40">
                  <c:v>1.5</c:v>
                </c:pt>
                <c:pt idx="41">
                  <c:v>1.6</c:v>
                </c:pt>
                <c:pt idx="42">
                  <c:v>1.6</c:v>
                </c:pt>
                <c:pt idx="43">
                  <c:v>1.7</c:v>
                </c:pt>
                <c:pt idx="44">
                  <c:v>1.7</c:v>
                </c:pt>
                <c:pt idx="45">
                  <c:v>1.7</c:v>
                </c:pt>
                <c:pt idx="46">
                  <c:v>1.6</c:v>
                </c:pt>
                <c:pt idx="47">
                  <c:v>1.7</c:v>
                </c:pt>
                <c:pt idx="48">
                  <c:v>1.6</c:v>
                </c:pt>
                <c:pt idx="49">
                  <c:v>1.6</c:v>
                </c:pt>
                <c:pt idx="50">
                  <c:v>1.6</c:v>
                </c:pt>
                <c:pt idx="51">
                  <c:v>1.6</c:v>
                </c:pt>
                <c:pt idx="52">
                  <c:v>1.7</c:v>
                </c:pt>
                <c:pt idx="53">
                  <c:v>1.7</c:v>
                </c:pt>
                <c:pt idx="54">
                  <c:v>1.8</c:v>
                </c:pt>
                <c:pt idx="55">
                  <c:v>1.8</c:v>
                </c:pt>
                <c:pt idx="56">
                  <c:v>1.8</c:v>
                </c:pt>
                <c:pt idx="57">
                  <c:v>1.8</c:v>
                </c:pt>
                <c:pt idx="58">
                  <c:v>1.8</c:v>
                </c:pt>
                <c:pt idx="59">
                  <c:v>1.7</c:v>
                </c:pt>
                <c:pt idx="60">
                  <c:v>1.8</c:v>
                </c:pt>
                <c:pt idx="61">
                  <c:v>1.9</c:v>
                </c:pt>
              </c:numCache>
            </c:numRef>
          </c:val>
        </c:ser>
        <c:axId val="169676160"/>
        <c:axId val="1696783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9676160"/>
        <c:axId val="169678336"/>
      </c:lineChart>
      <c:catAx>
        <c:axId val="169676160"/>
        <c:scaling>
          <c:orientation val="minMax"/>
        </c:scaling>
        <c:axPos val="b"/>
        <c:tickLblPos val="nextTo"/>
        <c:crossAx val="169678336"/>
        <c:crosses val="autoZero"/>
        <c:auto val="1"/>
        <c:lblAlgn val="ctr"/>
        <c:lblOffset val="100"/>
      </c:catAx>
      <c:valAx>
        <c:axId val="169678336"/>
        <c:scaling>
          <c:orientation val="minMax"/>
        </c:scaling>
        <c:axPos val="l"/>
        <c:majorGridlines/>
        <c:numFmt formatCode="General" sourceLinked="1"/>
        <c:tickLblPos val="nextTo"/>
        <c:crossAx val="169676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1.1000000000000001</c:v>
                </c:pt>
                <c:pt idx="1">
                  <c:v>0.1</c:v>
                </c:pt>
                <c:pt idx="2">
                  <c:v>3.9</c:v>
                </c:pt>
                <c:pt idx="3">
                  <c:v>1.4</c:v>
                </c:pt>
                <c:pt idx="4">
                  <c:v>1.1000000000000001</c:v>
                </c:pt>
                <c:pt idx="5">
                  <c:v>2.5</c:v>
                </c:pt>
                <c:pt idx="6">
                  <c:v>22.2</c:v>
                </c:pt>
                <c:pt idx="7">
                  <c:v>1.7</c:v>
                </c:pt>
                <c:pt idx="8">
                  <c:v>12.5</c:v>
                </c:pt>
                <c:pt idx="9">
                  <c:v>1.2</c:v>
                </c:pt>
                <c:pt idx="10">
                  <c:v>0.8</c:v>
                </c:pt>
                <c:pt idx="11">
                  <c:v>1.2</c:v>
                </c:pt>
                <c:pt idx="12">
                  <c:v>4.4000000000000004</c:v>
                </c:pt>
                <c:pt idx="13">
                  <c:v>6.9</c:v>
                </c:pt>
                <c:pt idx="14">
                  <c:v>2.8</c:v>
                </c:pt>
                <c:pt idx="15">
                  <c:v>11.1</c:v>
                </c:pt>
                <c:pt idx="16">
                  <c:v>19.399999999999999</c:v>
                </c:pt>
                <c:pt idx="17">
                  <c:v>5</c:v>
                </c:pt>
              </c:numCache>
            </c:numRef>
          </c:val>
        </c:ser>
        <c:ser>
          <c:idx val="7"/>
          <c:order val="1"/>
          <c:tx>
            <c:strRef>
              <c:f>'front page'!$BP$19</c:f>
              <c:strCache>
                <c:ptCount val="1"/>
                <c:pt idx="0">
                  <c:v>2016</c:v>
                </c:pt>
              </c:strCache>
            </c:strRef>
          </c:tx>
          <c:val>
            <c:numRef>
              <c:f>'front page'!$BP$20:$BP$37</c:f>
              <c:numCache>
                <c:formatCode>General</c:formatCode>
                <c:ptCount val="18"/>
                <c:pt idx="0">
                  <c:v>0.7</c:v>
                </c:pt>
                <c:pt idx="1">
                  <c:v>0.1</c:v>
                </c:pt>
                <c:pt idx="2">
                  <c:v>2.1</c:v>
                </c:pt>
                <c:pt idx="3">
                  <c:v>1.8</c:v>
                </c:pt>
                <c:pt idx="4">
                  <c:v>1.2</c:v>
                </c:pt>
                <c:pt idx="5">
                  <c:v>2.6</c:v>
                </c:pt>
                <c:pt idx="6">
                  <c:v>21.1</c:v>
                </c:pt>
                <c:pt idx="7">
                  <c:v>4.2</c:v>
                </c:pt>
                <c:pt idx="8">
                  <c:v>10.5</c:v>
                </c:pt>
                <c:pt idx="9">
                  <c:v>1.2</c:v>
                </c:pt>
                <c:pt idx="10">
                  <c:v>0.7</c:v>
                </c:pt>
                <c:pt idx="11">
                  <c:v>1.3</c:v>
                </c:pt>
                <c:pt idx="12">
                  <c:v>5.3</c:v>
                </c:pt>
                <c:pt idx="13">
                  <c:v>11.8</c:v>
                </c:pt>
                <c:pt idx="14">
                  <c:v>3.2</c:v>
                </c:pt>
                <c:pt idx="15">
                  <c:v>9.1999999999999993</c:v>
                </c:pt>
                <c:pt idx="16">
                  <c:v>15.8</c:v>
                </c:pt>
                <c:pt idx="17">
                  <c:v>4.7</c:v>
                </c:pt>
              </c:numCache>
            </c:numRef>
          </c:val>
        </c:ser>
        <c:ser>
          <c:idx val="0"/>
          <c:order val="2"/>
          <c:tx>
            <c:strRef>
              <c:f>'front page'!$BQ$19</c:f>
              <c:strCache>
                <c:ptCount val="1"/>
                <c:pt idx="0">
                  <c:v>2017</c:v>
                </c:pt>
              </c:strCache>
            </c:strRef>
          </c:tx>
          <c:val>
            <c:numRef>
              <c:f>'front page'!$BQ$20:$BQ$37</c:f>
              <c:numCache>
                <c:formatCode>General</c:formatCode>
                <c:ptCount val="18"/>
                <c:pt idx="0">
                  <c:v>0.7</c:v>
                </c:pt>
                <c:pt idx="1">
                  <c:v>0.1</c:v>
                </c:pt>
                <c:pt idx="2">
                  <c:v>2.6</c:v>
                </c:pt>
                <c:pt idx="3">
                  <c:v>2.4</c:v>
                </c:pt>
                <c:pt idx="4">
                  <c:v>1.1000000000000001</c:v>
                </c:pt>
                <c:pt idx="5">
                  <c:v>2.1</c:v>
                </c:pt>
                <c:pt idx="6">
                  <c:v>21.1</c:v>
                </c:pt>
                <c:pt idx="7">
                  <c:v>2.6</c:v>
                </c:pt>
                <c:pt idx="8">
                  <c:v>11.8</c:v>
                </c:pt>
                <c:pt idx="9">
                  <c:v>1.3</c:v>
                </c:pt>
                <c:pt idx="10">
                  <c:v>0.8</c:v>
                </c:pt>
                <c:pt idx="11">
                  <c:v>1.1000000000000001</c:v>
                </c:pt>
                <c:pt idx="12">
                  <c:v>5.3</c:v>
                </c:pt>
                <c:pt idx="13">
                  <c:v>13.2</c:v>
                </c:pt>
                <c:pt idx="14">
                  <c:v>3.2</c:v>
                </c:pt>
                <c:pt idx="15">
                  <c:v>10.5</c:v>
                </c:pt>
                <c:pt idx="16">
                  <c:v>18.399999999999999</c:v>
                </c:pt>
                <c:pt idx="17">
                  <c:v>5.3</c:v>
                </c:pt>
              </c:numCache>
            </c:numRef>
          </c:val>
        </c:ser>
        <c:axId val="175430272"/>
        <c:axId val="175309184"/>
      </c:barChart>
      <c:catAx>
        <c:axId val="175430272"/>
        <c:scaling>
          <c:orientation val="minMax"/>
        </c:scaling>
        <c:axPos val="b"/>
        <c:tickLblPos val="nextTo"/>
        <c:txPr>
          <a:bodyPr/>
          <a:lstStyle/>
          <a:p>
            <a:pPr>
              <a:defRPr sz="900"/>
            </a:pPr>
            <a:endParaRPr lang="en-US"/>
          </a:p>
        </c:txPr>
        <c:crossAx val="175309184"/>
        <c:crosses val="autoZero"/>
        <c:auto val="1"/>
        <c:lblAlgn val="ctr"/>
        <c:lblOffset val="100"/>
      </c:catAx>
      <c:valAx>
        <c:axId val="175309184"/>
        <c:scaling>
          <c:orientation val="minMax"/>
        </c:scaling>
        <c:axPos val="l"/>
        <c:majorGridlines/>
        <c:title>
          <c:tx>
            <c:rich>
              <a:bodyPr rot="0" vert="horz"/>
              <a:lstStyle/>
              <a:p>
                <a:pPr>
                  <a:defRPr/>
                </a:pPr>
                <a:r>
                  <a:rPr lang="en-US"/>
                  <a:t>%</a:t>
                </a:r>
              </a:p>
            </c:rich>
          </c:tx>
          <c:layout/>
        </c:title>
        <c:numFmt formatCode="General" sourceLinked="1"/>
        <c:tickLblPos val="nextTo"/>
        <c:crossAx val="1754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7.1641791044776122</c:v>
                </c:pt>
                <c:pt idx="1">
                  <c:v>0.39800995024875624</c:v>
                </c:pt>
                <c:pt idx="2">
                  <c:v>6.766169154228856</c:v>
                </c:pt>
                <c:pt idx="3">
                  <c:v>14.029850746268657</c:v>
                </c:pt>
                <c:pt idx="4">
                  <c:v>3.1840796019900499</c:v>
                </c:pt>
                <c:pt idx="5">
                  <c:v>7.4626865671641793</c:v>
                </c:pt>
                <c:pt idx="6">
                  <c:v>7.3631840796019903</c:v>
                </c:pt>
                <c:pt idx="7">
                  <c:v>3.1840796019900499</c:v>
                </c:pt>
                <c:pt idx="8">
                  <c:v>4.4776119402985071</c:v>
                </c:pt>
                <c:pt idx="9">
                  <c:v>5.8706467661691546</c:v>
                </c:pt>
                <c:pt idx="10">
                  <c:v>3.383084577114428</c:v>
                </c:pt>
                <c:pt idx="11">
                  <c:v>3.4825870646766171</c:v>
                </c:pt>
                <c:pt idx="12">
                  <c:v>14.427860696517413</c:v>
                </c:pt>
                <c:pt idx="13">
                  <c:v>8.1592039800995018</c:v>
                </c:pt>
                <c:pt idx="14">
                  <c:v>9.950248756218906E-2</c:v>
                </c:pt>
                <c:pt idx="15">
                  <c:v>1.4925373134328359</c:v>
                </c:pt>
                <c:pt idx="16">
                  <c:v>3.0845771144278609</c:v>
                </c:pt>
                <c:pt idx="17">
                  <c:v>5.9701492537313436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7.4331020812685829</c:v>
                </c:pt>
                <c:pt idx="1">
                  <c:v>0.39643211100099107</c:v>
                </c:pt>
                <c:pt idx="2">
                  <c:v>6.3429137760158572</c:v>
                </c:pt>
                <c:pt idx="3">
                  <c:v>13.77601585728444</c:v>
                </c:pt>
                <c:pt idx="4">
                  <c:v>3.1714568880079286</c:v>
                </c:pt>
                <c:pt idx="5">
                  <c:v>8.4241823587710609</c:v>
                </c:pt>
                <c:pt idx="6">
                  <c:v>7.2348860257680876</c:v>
                </c:pt>
                <c:pt idx="7">
                  <c:v>2.9732408325074333</c:v>
                </c:pt>
                <c:pt idx="8">
                  <c:v>4.7571853320118933</c:v>
                </c:pt>
                <c:pt idx="9">
                  <c:v>5.4509415262636276</c:v>
                </c:pt>
                <c:pt idx="10">
                  <c:v>4.5589692765113972</c:v>
                </c:pt>
                <c:pt idx="11">
                  <c:v>2.9732408325074333</c:v>
                </c:pt>
                <c:pt idx="12">
                  <c:v>14.172447968285431</c:v>
                </c:pt>
                <c:pt idx="13">
                  <c:v>7.4331020812685829</c:v>
                </c:pt>
                <c:pt idx="14">
                  <c:v>9.9108027750247768E-2</c:v>
                </c:pt>
                <c:pt idx="15">
                  <c:v>1.4866204162537167</c:v>
                </c:pt>
                <c:pt idx="16">
                  <c:v>3.3696729435084243</c:v>
                </c:pt>
                <c:pt idx="17">
                  <c:v>5.9464816650148666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7.3601570166830221</c:v>
                </c:pt>
                <c:pt idx="1">
                  <c:v>0.49067713444553485</c:v>
                </c:pt>
                <c:pt idx="2">
                  <c:v>6.5750736015701667</c:v>
                </c:pt>
                <c:pt idx="3">
                  <c:v>13.542688910696761</c:v>
                </c:pt>
                <c:pt idx="4">
                  <c:v>2.9440628066732089</c:v>
                </c:pt>
                <c:pt idx="5">
                  <c:v>6.8694798822374876</c:v>
                </c:pt>
                <c:pt idx="6">
                  <c:v>6.4769381746810595</c:v>
                </c:pt>
                <c:pt idx="7">
                  <c:v>2.845927379784102</c:v>
                </c:pt>
                <c:pt idx="8">
                  <c:v>4.8086359175662414</c:v>
                </c:pt>
                <c:pt idx="9">
                  <c:v>5.986261040235525</c:v>
                </c:pt>
                <c:pt idx="10">
                  <c:v>4.9067713444553487</c:v>
                </c:pt>
                <c:pt idx="11">
                  <c:v>3.0421982335623161</c:v>
                </c:pt>
                <c:pt idx="12">
                  <c:v>15.309126594700688</c:v>
                </c:pt>
                <c:pt idx="13">
                  <c:v>7.3601570166830221</c:v>
                </c:pt>
                <c:pt idx="14">
                  <c:v>0.39254170755642787</c:v>
                </c:pt>
                <c:pt idx="15">
                  <c:v>1.5701668302257115</c:v>
                </c:pt>
                <c:pt idx="16">
                  <c:v>3.5328753680078506</c:v>
                </c:pt>
                <c:pt idx="17">
                  <c:v>5.986261040235525</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8.0078125</c:v>
                </c:pt>
                <c:pt idx="1">
                  <c:v>0.48828125</c:v>
                </c:pt>
                <c:pt idx="2">
                  <c:v>6.73828125</c:v>
                </c:pt>
                <c:pt idx="3">
                  <c:v>13.18359375</c:v>
                </c:pt>
                <c:pt idx="4">
                  <c:v>2.9296875</c:v>
                </c:pt>
                <c:pt idx="5">
                  <c:v>6.8359375</c:v>
                </c:pt>
                <c:pt idx="6">
                  <c:v>6.54296875</c:v>
                </c:pt>
                <c:pt idx="7">
                  <c:v>2.83203125</c:v>
                </c:pt>
                <c:pt idx="8">
                  <c:v>4.39453125</c:v>
                </c:pt>
                <c:pt idx="9">
                  <c:v>6.0546875</c:v>
                </c:pt>
                <c:pt idx="10">
                  <c:v>5.2734375</c:v>
                </c:pt>
                <c:pt idx="11">
                  <c:v>3.125</c:v>
                </c:pt>
                <c:pt idx="12">
                  <c:v>15.52734375</c:v>
                </c:pt>
                <c:pt idx="13">
                  <c:v>7.03125</c:v>
                </c:pt>
                <c:pt idx="14">
                  <c:v>0.5859375</c:v>
                </c:pt>
                <c:pt idx="15">
                  <c:v>1.3671875</c:v>
                </c:pt>
                <c:pt idx="16">
                  <c:v>3.61328125</c:v>
                </c:pt>
                <c:pt idx="17">
                  <c:v>5.46875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7.9395085066162574</c:v>
                </c:pt>
                <c:pt idx="1">
                  <c:v>0.56710775047258977</c:v>
                </c:pt>
                <c:pt idx="2">
                  <c:v>6.3327032136105856</c:v>
                </c:pt>
                <c:pt idx="3">
                  <c:v>13.043478260869565</c:v>
                </c:pt>
                <c:pt idx="4">
                  <c:v>2.8355387523629489</c:v>
                </c:pt>
                <c:pt idx="5">
                  <c:v>6.8998109640831755</c:v>
                </c:pt>
                <c:pt idx="6">
                  <c:v>6.5217391304347823</c:v>
                </c:pt>
                <c:pt idx="7">
                  <c:v>2.7410207939508506</c:v>
                </c:pt>
                <c:pt idx="8">
                  <c:v>4.4423440453686203</c:v>
                </c:pt>
                <c:pt idx="9">
                  <c:v>6.3327032136105856</c:v>
                </c:pt>
                <c:pt idx="10">
                  <c:v>5.1984877126654068</c:v>
                </c:pt>
                <c:pt idx="11">
                  <c:v>2.8355387523629489</c:v>
                </c:pt>
                <c:pt idx="12">
                  <c:v>15.973534971644613</c:v>
                </c:pt>
                <c:pt idx="13">
                  <c:v>7.2778827977315688</c:v>
                </c:pt>
                <c:pt idx="14">
                  <c:v>0.56710775047258977</c:v>
                </c:pt>
                <c:pt idx="15">
                  <c:v>1.5122873345935728</c:v>
                </c:pt>
                <c:pt idx="16">
                  <c:v>3.6862003780718338</c:v>
                </c:pt>
                <c:pt idx="17">
                  <c:v>5.2930056710775046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7.588075880758808</c:v>
                </c:pt>
                <c:pt idx="1">
                  <c:v>0.54200542005420049</c:v>
                </c:pt>
                <c:pt idx="2">
                  <c:v>5.9620596205962055</c:v>
                </c:pt>
                <c:pt idx="3">
                  <c:v>13.008130081300813</c:v>
                </c:pt>
                <c:pt idx="4">
                  <c:v>2.7100271002710028</c:v>
                </c:pt>
                <c:pt idx="5">
                  <c:v>6.3233965672990067</c:v>
                </c:pt>
                <c:pt idx="6">
                  <c:v>6.5040650406504064</c:v>
                </c:pt>
                <c:pt idx="7">
                  <c:v>2.4390243902439024</c:v>
                </c:pt>
                <c:pt idx="8">
                  <c:v>4.2457091237579041</c:v>
                </c:pt>
                <c:pt idx="9">
                  <c:v>6.0523938572719063</c:v>
                </c:pt>
                <c:pt idx="10">
                  <c:v>5.4200542005420056</c:v>
                </c:pt>
                <c:pt idx="11">
                  <c:v>2.8003613369467026</c:v>
                </c:pt>
                <c:pt idx="12">
                  <c:v>16.802168021680217</c:v>
                </c:pt>
                <c:pt idx="13">
                  <c:v>8.1300813008130088</c:v>
                </c:pt>
                <c:pt idx="14">
                  <c:v>0.63233965672990067</c:v>
                </c:pt>
                <c:pt idx="15">
                  <c:v>1.5356820234869015</c:v>
                </c:pt>
                <c:pt idx="16">
                  <c:v>3.8843721770551038</c:v>
                </c:pt>
                <c:pt idx="17">
                  <c:v>5.4200542005420056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7.2727272727272725</c:v>
                </c:pt>
                <c:pt idx="1">
                  <c:v>0.60606060606060608</c:v>
                </c:pt>
                <c:pt idx="2">
                  <c:v>5.4545454545454541</c:v>
                </c:pt>
                <c:pt idx="3">
                  <c:v>13.16017316017316</c:v>
                </c:pt>
                <c:pt idx="4">
                  <c:v>2.5974025974025974</c:v>
                </c:pt>
                <c:pt idx="5">
                  <c:v>6.4935064935064934</c:v>
                </c:pt>
                <c:pt idx="6">
                  <c:v>6.4069264069264067</c:v>
                </c:pt>
                <c:pt idx="7">
                  <c:v>2.5108225108225106</c:v>
                </c:pt>
                <c:pt idx="8">
                  <c:v>3.9826839826839828</c:v>
                </c:pt>
                <c:pt idx="9">
                  <c:v>6.3203463203463199</c:v>
                </c:pt>
                <c:pt idx="10">
                  <c:v>5.4545454545454541</c:v>
                </c:pt>
                <c:pt idx="11">
                  <c:v>2.9437229437229435</c:v>
                </c:pt>
                <c:pt idx="12">
                  <c:v>16.536796536796537</c:v>
                </c:pt>
                <c:pt idx="13">
                  <c:v>8.4848484848484844</c:v>
                </c:pt>
                <c:pt idx="14">
                  <c:v>0.60606060606060608</c:v>
                </c:pt>
                <c:pt idx="15">
                  <c:v>1.5584415584415585</c:v>
                </c:pt>
                <c:pt idx="16">
                  <c:v>4.2424242424242422</c:v>
                </c:pt>
                <c:pt idx="17">
                  <c:v>5.3679653679653683</c:v>
                </c:pt>
              </c:numCache>
            </c:numRef>
          </c:val>
        </c:ser>
        <c:ser>
          <c:idx val="0"/>
          <c:order val="7"/>
          <c:tx>
            <c:strRef>
              <c:f>'front page'!$J$10</c:f>
              <c:strCache>
                <c:ptCount val="1"/>
                <c:pt idx="0">
                  <c:v>2017</c:v>
                </c:pt>
              </c:strCache>
            </c:strRef>
          </c:tx>
          <c:val>
            <c:numRef>
              <c:f>'front page'!$J$11:$J$28</c:f>
              <c:numCache>
                <c:formatCode>General</c:formatCode>
                <c:ptCount val="18"/>
                <c:pt idx="0">
                  <c:v>6.827643630308077</c:v>
                </c:pt>
                <c:pt idx="1">
                  <c:v>0.49958368026644462</c:v>
                </c:pt>
                <c:pt idx="2">
                  <c:v>5.3288925895087429</c:v>
                </c:pt>
                <c:pt idx="3">
                  <c:v>13.40549542048293</c:v>
                </c:pt>
                <c:pt idx="4">
                  <c:v>2.5811823480432974</c:v>
                </c:pt>
                <c:pt idx="5">
                  <c:v>6.1615320566194836</c:v>
                </c:pt>
                <c:pt idx="6">
                  <c:v>6.0782681099084099</c:v>
                </c:pt>
                <c:pt idx="7">
                  <c:v>2.6644462947543714</c:v>
                </c:pt>
                <c:pt idx="8">
                  <c:v>4.0799333888426315</c:v>
                </c:pt>
                <c:pt idx="9">
                  <c:v>6.5778517901748543</c:v>
                </c:pt>
                <c:pt idx="10">
                  <c:v>5.5786844296419646</c:v>
                </c:pt>
                <c:pt idx="11">
                  <c:v>3.2472939217318899</c:v>
                </c:pt>
                <c:pt idx="12">
                  <c:v>16.736053288925895</c:v>
                </c:pt>
                <c:pt idx="13">
                  <c:v>8.6594504579517064</c:v>
                </c:pt>
                <c:pt idx="14">
                  <c:v>0.58284762697751868</c:v>
                </c:pt>
                <c:pt idx="15">
                  <c:v>1.4987510407993339</c:v>
                </c:pt>
                <c:pt idx="16">
                  <c:v>4.2464612822647796</c:v>
                </c:pt>
                <c:pt idx="17">
                  <c:v>5.2456286427976684</c:v>
                </c:pt>
              </c:numCache>
            </c:numRef>
          </c:val>
        </c:ser>
        <c:ser>
          <c:idx val="1"/>
          <c:order val="8"/>
          <c:tx>
            <c:strRef>
              <c:f>'front page'!$K$10</c:f>
              <c:strCache>
                <c:ptCount val="1"/>
                <c:pt idx="0">
                  <c:v>2018</c:v>
                </c:pt>
              </c:strCache>
            </c:strRef>
          </c:tx>
          <c:val>
            <c:numRef>
              <c:f>'front page'!$K$11:$K$28</c:f>
              <c:numCache>
                <c:formatCode>General</c:formatCode>
                <c:ptCount val="18"/>
                <c:pt idx="0">
                  <c:v>6.6075745366639804</c:v>
                </c:pt>
                <c:pt idx="1">
                  <c:v>0.48348106365834004</c:v>
                </c:pt>
                <c:pt idx="2">
                  <c:v>5.3182917002417405</c:v>
                </c:pt>
                <c:pt idx="3">
                  <c:v>14.020950846091861</c:v>
                </c:pt>
                <c:pt idx="4">
                  <c:v>2.7397260273972601</c:v>
                </c:pt>
                <c:pt idx="5">
                  <c:v>7.6551168412570512</c:v>
                </c:pt>
                <c:pt idx="6">
                  <c:v>5.9629331184528604</c:v>
                </c:pt>
                <c:pt idx="7">
                  <c:v>2.5785656728444803</c:v>
                </c:pt>
                <c:pt idx="8">
                  <c:v>4.0290088638195005</c:v>
                </c:pt>
                <c:pt idx="9">
                  <c:v>6.526994359387591</c:v>
                </c:pt>
                <c:pt idx="10">
                  <c:v>5.5600322320709106</c:v>
                </c:pt>
                <c:pt idx="11">
                  <c:v>3.3843674456083805</c:v>
                </c:pt>
                <c:pt idx="12">
                  <c:v>15.713134568896052</c:v>
                </c:pt>
                <c:pt idx="13">
                  <c:v>8.6220789685737316</c:v>
                </c:pt>
                <c:pt idx="14">
                  <c:v>0.64464141821112009</c:v>
                </c:pt>
                <c:pt idx="15">
                  <c:v>1.3698630136986301</c:v>
                </c:pt>
                <c:pt idx="16">
                  <c:v>3.8678485092667203</c:v>
                </c:pt>
                <c:pt idx="17">
                  <c:v>4.9153908138597906</c:v>
                </c:pt>
              </c:numCache>
            </c:numRef>
          </c:val>
        </c:ser>
        <c:axId val="175356544"/>
        <c:axId val="175362432"/>
      </c:barChart>
      <c:catAx>
        <c:axId val="175356544"/>
        <c:scaling>
          <c:orientation val="minMax"/>
        </c:scaling>
        <c:axPos val="b"/>
        <c:numFmt formatCode="General" sourceLinked="1"/>
        <c:tickLblPos val="nextTo"/>
        <c:txPr>
          <a:bodyPr/>
          <a:lstStyle/>
          <a:p>
            <a:pPr>
              <a:defRPr sz="800"/>
            </a:pPr>
            <a:endParaRPr lang="en-US"/>
          </a:p>
        </c:txPr>
        <c:crossAx val="175362432"/>
        <c:crosses val="autoZero"/>
        <c:auto val="1"/>
        <c:lblAlgn val="ctr"/>
        <c:lblOffset val="100"/>
      </c:catAx>
      <c:valAx>
        <c:axId val="175362432"/>
        <c:scaling>
          <c:orientation val="minMax"/>
        </c:scaling>
        <c:axPos val="l"/>
        <c:majorGridlines/>
        <c:title>
          <c:tx>
            <c:rich>
              <a:bodyPr rot="0" vert="horz"/>
              <a:lstStyle/>
              <a:p>
                <a:pPr>
                  <a:defRPr/>
                </a:pPr>
                <a:r>
                  <a:rPr lang="en-US"/>
                  <a:t>%</a:t>
                </a:r>
              </a:p>
            </c:rich>
          </c:tx>
          <c:layout/>
        </c:title>
        <c:numFmt formatCode="General" sourceLinked="1"/>
        <c:tickLblPos val="nextTo"/>
        <c:crossAx val="17535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Ashford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2.2999999999999998</c:v>
                </c:pt>
                <c:pt idx="1">
                  <c:v>1.8</c:v>
                </c:pt>
                <c:pt idx="2">
                  <c:v>2.2000000000000002</c:v>
                </c:pt>
              </c:numCache>
            </c:numRef>
          </c:val>
        </c:ser>
        <c:axId val="175505792"/>
        <c:axId val="17550732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505792"/>
        <c:axId val="175507328"/>
      </c:lineChart>
      <c:catAx>
        <c:axId val="175505792"/>
        <c:scaling>
          <c:orientation val="minMax"/>
        </c:scaling>
        <c:axPos val="b"/>
        <c:numFmt formatCode="General" sourceLinked="1"/>
        <c:tickLblPos val="nextTo"/>
        <c:txPr>
          <a:bodyPr/>
          <a:lstStyle/>
          <a:p>
            <a:pPr>
              <a:defRPr sz="800"/>
            </a:pPr>
            <a:endParaRPr lang="en-US"/>
          </a:p>
        </c:txPr>
        <c:crossAx val="175507328"/>
        <c:crosses val="autoZero"/>
        <c:auto val="1"/>
        <c:lblAlgn val="ctr"/>
        <c:lblOffset val="100"/>
      </c:catAx>
      <c:valAx>
        <c:axId val="175507328"/>
        <c:scaling>
          <c:orientation val="minMax"/>
        </c:scaling>
        <c:axPos val="l"/>
        <c:majorGridlines/>
        <c:title>
          <c:tx>
            <c:rich>
              <a:bodyPr rot="0" vert="horz"/>
              <a:lstStyle/>
              <a:p>
                <a:pPr>
                  <a:defRPr/>
                </a:pPr>
                <a:r>
                  <a:rPr lang="en-US"/>
                  <a:t>%</a:t>
                </a:r>
              </a:p>
            </c:rich>
          </c:tx>
          <c:layout/>
        </c:title>
        <c:numFmt formatCode="General" sourceLinked="1"/>
        <c:tickLblPos val="nextTo"/>
        <c:crossAx val="175505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Ashford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7.1641791044776122</c:v>
                </c:pt>
                <c:pt idx="2">
                  <c:v>7.4331020812685829</c:v>
                </c:pt>
                <c:pt idx="3">
                  <c:v>7.3601570166830221</c:v>
                </c:pt>
                <c:pt idx="4">
                  <c:v>8.0078125</c:v>
                </c:pt>
                <c:pt idx="5">
                  <c:v>7.9395085066162574</c:v>
                </c:pt>
                <c:pt idx="6">
                  <c:v>7.588075880758808</c:v>
                </c:pt>
                <c:pt idx="7">
                  <c:v>7.2727272727272725</c:v>
                </c:pt>
                <c:pt idx="8">
                  <c:v>6.827643630308077</c:v>
                </c:pt>
                <c:pt idx="9">
                  <c:v>6.6075745366639804</c:v>
                </c:pt>
              </c:numCache>
            </c:numRef>
          </c:val>
        </c:ser>
        <c:axId val="175543040"/>
        <c:axId val="17554457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543040"/>
        <c:axId val="175544576"/>
      </c:lineChart>
      <c:catAx>
        <c:axId val="175543040"/>
        <c:scaling>
          <c:orientation val="minMax"/>
        </c:scaling>
        <c:axPos val="b"/>
        <c:numFmt formatCode="General" sourceLinked="1"/>
        <c:tickLblPos val="nextTo"/>
        <c:txPr>
          <a:bodyPr/>
          <a:lstStyle/>
          <a:p>
            <a:pPr>
              <a:defRPr sz="800"/>
            </a:pPr>
            <a:endParaRPr lang="en-US"/>
          </a:p>
        </c:txPr>
        <c:crossAx val="175544576"/>
        <c:crosses val="autoZero"/>
        <c:auto val="1"/>
        <c:lblAlgn val="ctr"/>
        <c:lblOffset val="100"/>
      </c:catAx>
      <c:valAx>
        <c:axId val="175544576"/>
        <c:scaling>
          <c:orientation val="minMax"/>
        </c:scaling>
        <c:axPos val="l"/>
        <c:majorGridlines/>
        <c:title>
          <c:tx>
            <c:rich>
              <a:bodyPr rot="0" vert="horz"/>
              <a:lstStyle/>
              <a:p>
                <a:pPr>
                  <a:defRPr/>
                </a:pPr>
                <a:r>
                  <a:rPr lang="en-US"/>
                  <a:t>%</a:t>
                </a:r>
              </a:p>
            </c:rich>
          </c:tx>
          <c:layout/>
        </c:title>
        <c:numFmt formatCode="General" sourceLinked="1"/>
        <c:tickLblPos val="nextTo"/>
        <c:crossAx val="1755430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2018-11-08T12:25:00Z</dcterms:created>
  <dcterms:modified xsi:type="dcterms:W3CDTF">2018-11-08T12:57:00Z</dcterms:modified>
</cp:coreProperties>
</file>