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758FA">
      <w:r w:rsidRPr="00E758FA">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E60537" w:rsidRDefault="00DA24E3" w:rsidP="004D3814">
                  <w:pPr>
                    <w:jc w:val="right"/>
                    <w:rPr>
                      <w:rFonts w:ascii="Segoe UI" w:hAnsi="Segoe UI" w:cs="Segoe UI"/>
                      <w:b/>
                      <w:sz w:val="56"/>
                      <w:szCs w:val="72"/>
                      <w:u w:val="single"/>
                    </w:rPr>
                  </w:pPr>
                  <w:r>
                    <w:rPr>
                      <w:rFonts w:ascii="Segoe UI" w:hAnsi="Segoe UI" w:cs="Segoe UI"/>
                      <w:b/>
                      <w:sz w:val="56"/>
                      <w:szCs w:val="72"/>
                      <w:u w:val="single"/>
                    </w:rPr>
                    <w:t>Che</w:t>
                  </w:r>
                  <w:r w:rsidR="00991510">
                    <w:rPr>
                      <w:rFonts w:ascii="Segoe UI" w:hAnsi="Segoe UI" w:cs="Segoe UI"/>
                      <w:b/>
                      <w:sz w:val="56"/>
                      <w:szCs w:val="72"/>
                      <w:u w:val="single"/>
                    </w:rPr>
                    <w:t>shire East</w:t>
                  </w:r>
                  <w:r w:rsidR="00C13421" w:rsidRPr="00E60537">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E758FA"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E758FA"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E758FA"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E758FA"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E758FA"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63130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Cheshire East</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2738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2747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2859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2864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2880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49741</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Cheshire East</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2173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2167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2253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2223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2237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43095</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Cheshire East</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1574</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1563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1614</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1617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30B7"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1667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B3F7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B3F76" w:rsidRDefault="006B3F76" w:rsidP="006B3F7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6B3F7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B3F76" w:rsidRDefault="006B3F76" w:rsidP="006B3F76">
            <w:pPr>
              <w:spacing w:after="100" w:afterAutospacing="1"/>
              <w:rPr>
                <w:rFonts w:ascii="Tahoma" w:hAnsi="Tahoma" w:cs="Tahoma"/>
                <w:color w:val="000000"/>
                <w:sz w:val="16"/>
                <w:szCs w:val="16"/>
              </w:rPr>
            </w:pPr>
            <w:r>
              <w:rPr>
                <w:rFonts w:ascii="Tahoma" w:hAnsi="Tahoma" w:cs="Tahoma"/>
                <w:color w:val="000000"/>
                <w:sz w:val="16"/>
                <w:szCs w:val="16"/>
              </w:rPr>
              <w:t>Cheshire East</w:t>
            </w:r>
          </w:p>
        </w:tc>
        <w:tc>
          <w:tcPr>
            <w:tcW w:w="2818"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29.39</w:t>
            </w:r>
          </w:p>
        </w:tc>
        <w:tc>
          <w:tcPr>
            <w:tcW w:w="2647"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29.39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B3F7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B3F76" w:rsidRDefault="006B3F76" w:rsidP="006B3F7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6B3F7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B3F76" w:rsidRDefault="006B3F76" w:rsidP="006B3F76">
            <w:pPr>
              <w:spacing w:after="100" w:afterAutospacing="1"/>
              <w:rPr>
                <w:rFonts w:ascii="Tahoma" w:hAnsi="Tahoma" w:cs="Tahoma"/>
                <w:color w:val="000000"/>
                <w:sz w:val="16"/>
                <w:szCs w:val="16"/>
              </w:rPr>
            </w:pPr>
            <w:r>
              <w:rPr>
                <w:rFonts w:ascii="Tahoma" w:hAnsi="Tahoma" w:cs="Tahoma"/>
                <w:color w:val="000000"/>
                <w:sz w:val="16"/>
                <w:szCs w:val="16"/>
              </w:rPr>
              <w:t>Cheshire East</w:t>
            </w:r>
          </w:p>
        </w:tc>
        <w:tc>
          <w:tcPr>
            <w:tcW w:w="1356"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4.29</w:t>
            </w:r>
          </w:p>
        </w:tc>
        <w:tc>
          <w:tcPr>
            <w:tcW w:w="1377"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197.66</w:t>
            </w:r>
          </w:p>
        </w:tc>
        <w:tc>
          <w:tcPr>
            <w:tcW w:w="1559"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53.94</w:t>
            </w:r>
          </w:p>
        </w:tc>
        <w:tc>
          <w:tcPr>
            <w:tcW w:w="1418"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255.88</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B3F7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B3F76" w:rsidRDefault="006B3F76" w:rsidP="006B3F7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6B3F7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B3F76" w:rsidRDefault="006B3F76" w:rsidP="006B3F76">
            <w:pPr>
              <w:spacing w:after="100" w:afterAutospacing="1"/>
              <w:rPr>
                <w:rFonts w:ascii="Tahoma" w:hAnsi="Tahoma" w:cs="Tahoma"/>
                <w:color w:val="000000"/>
                <w:sz w:val="16"/>
                <w:szCs w:val="16"/>
              </w:rPr>
            </w:pPr>
            <w:r>
              <w:rPr>
                <w:rFonts w:ascii="Tahoma" w:hAnsi="Tahoma" w:cs="Tahoma"/>
                <w:color w:val="000000"/>
                <w:sz w:val="16"/>
                <w:szCs w:val="16"/>
              </w:rPr>
              <w:t>Cheshire East</w:t>
            </w:r>
          </w:p>
        </w:tc>
        <w:tc>
          <w:tcPr>
            <w:tcW w:w="1276"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66.4</w:t>
            </w:r>
          </w:p>
        </w:tc>
        <w:tc>
          <w:tcPr>
            <w:tcW w:w="1417"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22.4</w:t>
            </w:r>
          </w:p>
        </w:tc>
        <w:tc>
          <w:tcPr>
            <w:tcW w:w="1559"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844.6</w:t>
            </w:r>
          </w:p>
        </w:tc>
        <w:tc>
          <w:tcPr>
            <w:tcW w:w="1560"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562.1</w:t>
            </w:r>
          </w:p>
        </w:tc>
        <w:tc>
          <w:tcPr>
            <w:tcW w:w="1559"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1495.6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B3F7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B3F76" w:rsidRDefault="006B3F76" w:rsidP="006B3F76">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6B3F7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B3F76" w:rsidRDefault="006B3F76" w:rsidP="006B3F76">
            <w:pPr>
              <w:spacing w:after="100" w:afterAutospacing="1"/>
              <w:rPr>
                <w:rFonts w:ascii="Tahoma" w:hAnsi="Tahoma" w:cs="Tahoma"/>
                <w:color w:val="000000"/>
                <w:sz w:val="16"/>
                <w:szCs w:val="16"/>
              </w:rPr>
            </w:pPr>
            <w:r>
              <w:rPr>
                <w:rFonts w:ascii="Tahoma" w:hAnsi="Tahoma" w:cs="Tahoma"/>
                <w:color w:val="000000"/>
                <w:sz w:val="16"/>
                <w:szCs w:val="16"/>
              </w:rPr>
              <w:t>Cheshire East</w:t>
            </w:r>
          </w:p>
        </w:tc>
        <w:tc>
          <w:tcPr>
            <w:tcW w:w="1843"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33.68</w:t>
            </w:r>
          </w:p>
        </w:tc>
        <w:tc>
          <w:tcPr>
            <w:tcW w:w="1984"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251.59</w:t>
            </w:r>
          </w:p>
        </w:tc>
        <w:tc>
          <w:tcPr>
            <w:tcW w:w="1843"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1495.6</w:t>
            </w:r>
          </w:p>
        </w:tc>
        <w:tc>
          <w:tcPr>
            <w:tcW w:w="1701" w:type="dxa"/>
            <w:tcBorders>
              <w:top w:val="nil"/>
              <w:left w:val="nil"/>
              <w:bottom w:val="single" w:sz="4" w:space="0" w:color="auto"/>
              <w:right w:val="single" w:sz="4" w:space="0" w:color="auto"/>
            </w:tcBorders>
            <w:shd w:val="clear" w:color="auto" w:fill="auto"/>
            <w:noWrap/>
            <w:vAlign w:val="bottom"/>
            <w:hideMark/>
          </w:tcPr>
          <w:p w:rsidR="006B3F76" w:rsidRDefault="006B3F76" w:rsidP="006B3F76">
            <w:pPr>
              <w:spacing w:after="100" w:afterAutospacing="1"/>
              <w:jc w:val="right"/>
              <w:rPr>
                <w:rFonts w:ascii="Tahoma" w:hAnsi="Tahoma" w:cs="Tahoma"/>
                <w:color w:val="000000"/>
                <w:sz w:val="16"/>
                <w:szCs w:val="16"/>
              </w:rPr>
            </w:pPr>
            <w:r>
              <w:rPr>
                <w:rFonts w:ascii="Tahoma" w:hAnsi="Tahoma" w:cs="Tahoma"/>
                <w:color w:val="000000"/>
                <w:sz w:val="16"/>
                <w:szCs w:val="16"/>
              </w:rPr>
              <w:t>1780.8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6B3F76" w:rsidRPr="009500DD" w:rsidTr="006B3F76">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3F76" w:rsidRDefault="006B3F76" w:rsidP="006B3F76">
            <w:pPr>
              <w:spacing w:after="100" w:afterAutospacing="1"/>
              <w:rPr>
                <w:rFonts w:ascii="Calibri" w:hAnsi="Calibri" w:cs="Calibri"/>
                <w:color w:val="000000"/>
              </w:rPr>
            </w:pPr>
            <w:r>
              <w:rPr>
                <w:rFonts w:ascii="Calibri" w:hAnsi="Calibri" w:cs="Calibri"/>
                <w:color w:val="000000"/>
              </w:rPr>
              <w:t>Road length of principal roads in Cheshire East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B3F76" w:rsidRDefault="006B3F76" w:rsidP="006B3F76">
            <w:pPr>
              <w:spacing w:after="100" w:afterAutospacing="1"/>
              <w:rPr>
                <w:rFonts w:ascii="Calibri" w:hAnsi="Calibri" w:cs="Calibri"/>
                <w:color w:val="000000"/>
              </w:rPr>
            </w:pPr>
            <w:r>
              <w:rPr>
                <w:rFonts w:ascii="Calibri" w:hAnsi="Calibri" w:cs="Calibri"/>
                <w:color w:val="000000"/>
              </w:rPr>
              <w:t>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6B3F76" w:rsidRPr="009500DD" w:rsidTr="006B3F76">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3F76" w:rsidRDefault="006B3F76" w:rsidP="006B3F76">
            <w:pPr>
              <w:spacing w:after="100" w:afterAutospacing="1"/>
              <w:rPr>
                <w:rFonts w:ascii="Calibri" w:hAnsi="Calibri" w:cs="Calibri"/>
                <w:color w:val="000000"/>
              </w:rPr>
            </w:pPr>
            <w:r>
              <w:rPr>
                <w:rFonts w:ascii="Calibri" w:hAnsi="Calibri" w:cs="Calibri"/>
                <w:color w:val="000000"/>
              </w:rPr>
              <w:t>Road length of non-principal roads in Cheshire East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B3F76" w:rsidRDefault="006B3F76" w:rsidP="006B3F76">
            <w:pPr>
              <w:spacing w:after="100" w:afterAutospacing="1"/>
              <w:rPr>
                <w:rFonts w:ascii="Calibri" w:hAnsi="Calibri" w:cs="Calibri"/>
                <w:color w:val="000000"/>
              </w:rPr>
            </w:pPr>
            <w:r>
              <w:rPr>
                <w:rFonts w:ascii="Calibri" w:hAnsi="Calibri" w:cs="Calibri"/>
                <w:color w:val="000000"/>
              </w:rPr>
              <w:t>60miles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54C2A"/>
    <w:rsid w:val="00057D91"/>
    <w:rsid w:val="00072149"/>
    <w:rsid w:val="00075447"/>
    <w:rsid w:val="00077094"/>
    <w:rsid w:val="000A253B"/>
    <w:rsid w:val="000A31A2"/>
    <w:rsid w:val="000B410A"/>
    <w:rsid w:val="000D1137"/>
    <w:rsid w:val="000D7426"/>
    <w:rsid w:val="000E0225"/>
    <w:rsid w:val="000E6E0C"/>
    <w:rsid w:val="00111193"/>
    <w:rsid w:val="001157F0"/>
    <w:rsid w:val="00123766"/>
    <w:rsid w:val="00136993"/>
    <w:rsid w:val="00137983"/>
    <w:rsid w:val="001458E3"/>
    <w:rsid w:val="0015049E"/>
    <w:rsid w:val="00153631"/>
    <w:rsid w:val="00154234"/>
    <w:rsid w:val="00162CA7"/>
    <w:rsid w:val="00163203"/>
    <w:rsid w:val="00163DF2"/>
    <w:rsid w:val="00171D21"/>
    <w:rsid w:val="001779A1"/>
    <w:rsid w:val="00182EBD"/>
    <w:rsid w:val="0019099A"/>
    <w:rsid w:val="001B2B01"/>
    <w:rsid w:val="001B5EA1"/>
    <w:rsid w:val="001C52DE"/>
    <w:rsid w:val="001D6CB6"/>
    <w:rsid w:val="001E09A4"/>
    <w:rsid w:val="001F4A28"/>
    <w:rsid w:val="00212307"/>
    <w:rsid w:val="00214346"/>
    <w:rsid w:val="0021628D"/>
    <w:rsid w:val="002211F3"/>
    <w:rsid w:val="00230CF6"/>
    <w:rsid w:val="002348E6"/>
    <w:rsid w:val="002408BD"/>
    <w:rsid w:val="00246E3A"/>
    <w:rsid w:val="00256D31"/>
    <w:rsid w:val="00257FBA"/>
    <w:rsid w:val="002651E1"/>
    <w:rsid w:val="00274ED9"/>
    <w:rsid w:val="002B39D0"/>
    <w:rsid w:val="002C6BB4"/>
    <w:rsid w:val="002D62CB"/>
    <w:rsid w:val="00326C5A"/>
    <w:rsid w:val="0033684A"/>
    <w:rsid w:val="00340480"/>
    <w:rsid w:val="00340CF5"/>
    <w:rsid w:val="00357E6D"/>
    <w:rsid w:val="00360FD9"/>
    <w:rsid w:val="00377466"/>
    <w:rsid w:val="003815DA"/>
    <w:rsid w:val="00383CA1"/>
    <w:rsid w:val="003878B8"/>
    <w:rsid w:val="003A18D3"/>
    <w:rsid w:val="003B5117"/>
    <w:rsid w:val="003C1462"/>
    <w:rsid w:val="003C40D8"/>
    <w:rsid w:val="003C7651"/>
    <w:rsid w:val="003D7517"/>
    <w:rsid w:val="003E7C4A"/>
    <w:rsid w:val="004033DF"/>
    <w:rsid w:val="00415E18"/>
    <w:rsid w:val="00417448"/>
    <w:rsid w:val="00427EEE"/>
    <w:rsid w:val="00443081"/>
    <w:rsid w:val="00445CF6"/>
    <w:rsid w:val="00451FF7"/>
    <w:rsid w:val="004623CF"/>
    <w:rsid w:val="00465750"/>
    <w:rsid w:val="00475274"/>
    <w:rsid w:val="004972B9"/>
    <w:rsid w:val="004A1C29"/>
    <w:rsid w:val="004A44E1"/>
    <w:rsid w:val="004B4BE1"/>
    <w:rsid w:val="004C095C"/>
    <w:rsid w:val="004C2A1C"/>
    <w:rsid w:val="004D3814"/>
    <w:rsid w:val="004E747D"/>
    <w:rsid w:val="00500FD5"/>
    <w:rsid w:val="00513C6F"/>
    <w:rsid w:val="00517C92"/>
    <w:rsid w:val="0052568F"/>
    <w:rsid w:val="00545A25"/>
    <w:rsid w:val="0054613A"/>
    <w:rsid w:val="00555F9F"/>
    <w:rsid w:val="00557B7F"/>
    <w:rsid w:val="0057388A"/>
    <w:rsid w:val="00575E1E"/>
    <w:rsid w:val="00587D4E"/>
    <w:rsid w:val="005947D7"/>
    <w:rsid w:val="005B3FA2"/>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92E85"/>
    <w:rsid w:val="006931D7"/>
    <w:rsid w:val="006A3967"/>
    <w:rsid w:val="006A58A6"/>
    <w:rsid w:val="006B3F76"/>
    <w:rsid w:val="006D6F09"/>
    <w:rsid w:val="006E0A15"/>
    <w:rsid w:val="006F2C9A"/>
    <w:rsid w:val="006F4FD3"/>
    <w:rsid w:val="006F75BA"/>
    <w:rsid w:val="0070182B"/>
    <w:rsid w:val="00707CEB"/>
    <w:rsid w:val="00715D9D"/>
    <w:rsid w:val="00727708"/>
    <w:rsid w:val="007404AB"/>
    <w:rsid w:val="0075601D"/>
    <w:rsid w:val="00765529"/>
    <w:rsid w:val="007669F4"/>
    <w:rsid w:val="00786635"/>
    <w:rsid w:val="007A24E2"/>
    <w:rsid w:val="007B5629"/>
    <w:rsid w:val="007C052F"/>
    <w:rsid w:val="007D3509"/>
    <w:rsid w:val="007D4BF5"/>
    <w:rsid w:val="007E0505"/>
    <w:rsid w:val="007E65D3"/>
    <w:rsid w:val="007F5F54"/>
    <w:rsid w:val="007F6504"/>
    <w:rsid w:val="007F66C5"/>
    <w:rsid w:val="007F7192"/>
    <w:rsid w:val="008211F5"/>
    <w:rsid w:val="00826B10"/>
    <w:rsid w:val="0083304D"/>
    <w:rsid w:val="00843934"/>
    <w:rsid w:val="00855650"/>
    <w:rsid w:val="008576ED"/>
    <w:rsid w:val="008615B3"/>
    <w:rsid w:val="00863A32"/>
    <w:rsid w:val="00867BF8"/>
    <w:rsid w:val="00884EF2"/>
    <w:rsid w:val="00886701"/>
    <w:rsid w:val="00886FEC"/>
    <w:rsid w:val="00890675"/>
    <w:rsid w:val="008A1121"/>
    <w:rsid w:val="008B21E0"/>
    <w:rsid w:val="008C071D"/>
    <w:rsid w:val="008C78B5"/>
    <w:rsid w:val="008D1139"/>
    <w:rsid w:val="008D66C0"/>
    <w:rsid w:val="008F3CBB"/>
    <w:rsid w:val="00901241"/>
    <w:rsid w:val="00942DF9"/>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3620F"/>
    <w:rsid w:val="00A44C1F"/>
    <w:rsid w:val="00A504D8"/>
    <w:rsid w:val="00A55118"/>
    <w:rsid w:val="00A57F92"/>
    <w:rsid w:val="00A61248"/>
    <w:rsid w:val="00A67FA7"/>
    <w:rsid w:val="00A75DA5"/>
    <w:rsid w:val="00A8038C"/>
    <w:rsid w:val="00AA1C54"/>
    <w:rsid w:val="00AA4EAF"/>
    <w:rsid w:val="00AB2003"/>
    <w:rsid w:val="00AC18BA"/>
    <w:rsid w:val="00AE3362"/>
    <w:rsid w:val="00AF0048"/>
    <w:rsid w:val="00B4609A"/>
    <w:rsid w:val="00B66EC4"/>
    <w:rsid w:val="00B71733"/>
    <w:rsid w:val="00B82315"/>
    <w:rsid w:val="00B84331"/>
    <w:rsid w:val="00B967F2"/>
    <w:rsid w:val="00BA5521"/>
    <w:rsid w:val="00BB01EE"/>
    <w:rsid w:val="00BE0C65"/>
    <w:rsid w:val="00BE32D1"/>
    <w:rsid w:val="00BE3B1E"/>
    <w:rsid w:val="00BF0BE9"/>
    <w:rsid w:val="00BF44B3"/>
    <w:rsid w:val="00C027BE"/>
    <w:rsid w:val="00C07765"/>
    <w:rsid w:val="00C13421"/>
    <w:rsid w:val="00C26302"/>
    <w:rsid w:val="00C27833"/>
    <w:rsid w:val="00C33EE4"/>
    <w:rsid w:val="00C345EF"/>
    <w:rsid w:val="00C427E1"/>
    <w:rsid w:val="00C60E60"/>
    <w:rsid w:val="00C62E3C"/>
    <w:rsid w:val="00C63472"/>
    <w:rsid w:val="00C63A68"/>
    <w:rsid w:val="00C66719"/>
    <w:rsid w:val="00C85FB2"/>
    <w:rsid w:val="00CA0B05"/>
    <w:rsid w:val="00CB452F"/>
    <w:rsid w:val="00CD17F8"/>
    <w:rsid w:val="00CF7E07"/>
    <w:rsid w:val="00D1146E"/>
    <w:rsid w:val="00D170C3"/>
    <w:rsid w:val="00D31FBD"/>
    <w:rsid w:val="00D32C9E"/>
    <w:rsid w:val="00D34678"/>
    <w:rsid w:val="00D3717A"/>
    <w:rsid w:val="00D51F64"/>
    <w:rsid w:val="00D60E26"/>
    <w:rsid w:val="00D61059"/>
    <w:rsid w:val="00D625BB"/>
    <w:rsid w:val="00D711F4"/>
    <w:rsid w:val="00D85C8C"/>
    <w:rsid w:val="00D86CE5"/>
    <w:rsid w:val="00D9047C"/>
    <w:rsid w:val="00D912DE"/>
    <w:rsid w:val="00DA24E3"/>
    <w:rsid w:val="00DA2FFE"/>
    <w:rsid w:val="00DA3CE6"/>
    <w:rsid w:val="00DB0C84"/>
    <w:rsid w:val="00DC21A8"/>
    <w:rsid w:val="00DD0F1F"/>
    <w:rsid w:val="00DE1D53"/>
    <w:rsid w:val="00DE28F6"/>
    <w:rsid w:val="00DE69DB"/>
    <w:rsid w:val="00DF55FA"/>
    <w:rsid w:val="00E06E00"/>
    <w:rsid w:val="00E07698"/>
    <w:rsid w:val="00E12E73"/>
    <w:rsid w:val="00E17957"/>
    <w:rsid w:val="00E21DB6"/>
    <w:rsid w:val="00E24A9C"/>
    <w:rsid w:val="00E33D6C"/>
    <w:rsid w:val="00E43E31"/>
    <w:rsid w:val="00E51B66"/>
    <w:rsid w:val="00E57E59"/>
    <w:rsid w:val="00E60537"/>
    <w:rsid w:val="00E7007C"/>
    <w:rsid w:val="00E758FA"/>
    <w:rsid w:val="00E866F7"/>
    <w:rsid w:val="00E930B7"/>
    <w:rsid w:val="00EB236D"/>
    <w:rsid w:val="00EB5237"/>
    <w:rsid w:val="00EC3808"/>
    <w:rsid w:val="00ED52B1"/>
    <w:rsid w:val="00EE29BA"/>
    <w:rsid w:val="00EE339D"/>
    <w:rsid w:val="00EE7458"/>
    <w:rsid w:val="00EF556D"/>
    <w:rsid w:val="00EF5EFE"/>
    <w:rsid w:val="00EF6F56"/>
    <w:rsid w:val="00F06E52"/>
    <w:rsid w:val="00F3443F"/>
    <w:rsid w:val="00F37401"/>
    <w:rsid w:val="00F60EE2"/>
    <w:rsid w:val="00F6181E"/>
    <w:rsid w:val="00F624C0"/>
    <w:rsid w:val="00F71624"/>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106341000">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Cheshire East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12.4401097150604</c:v>
                </c:pt>
                <c:pt idx="1">
                  <c:v>12.9444596153561</c:v>
                </c:pt>
                <c:pt idx="2">
                  <c:v>15.850566406980223</c:v>
                </c:pt>
              </c:numCache>
            </c:numRef>
          </c:val>
        </c:ser>
        <c:marker val="1"/>
        <c:axId val="151702528"/>
        <c:axId val="151741184"/>
      </c:lineChart>
      <c:catAx>
        <c:axId val="151702528"/>
        <c:scaling>
          <c:orientation val="minMax"/>
        </c:scaling>
        <c:axPos val="b"/>
        <c:numFmt formatCode="General" sourceLinked="1"/>
        <c:tickLblPos val="nextTo"/>
        <c:crossAx val="151741184"/>
        <c:crosses val="autoZero"/>
        <c:auto val="1"/>
        <c:lblAlgn val="ctr"/>
        <c:lblOffset val="100"/>
      </c:catAx>
      <c:valAx>
        <c:axId val="1517411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0252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9.9653896326193188</c:v>
                </c:pt>
              </c:numCache>
            </c:numRef>
          </c:val>
        </c:ser>
        <c:ser>
          <c:idx val="3"/>
          <c:order val="3"/>
          <c:tx>
            <c:strRef>
              <c:f>Sheet1!$E$383</c:f>
              <c:strCache>
                <c:ptCount val="1"/>
                <c:pt idx="0">
                  <c:v>Cheshire East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11.1535587087549</c:v>
                </c:pt>
                <c:pt idx="1">
                  <c:v>11.193484641848318</c:v>
                </c:pt>
                <c:pt idx="2">
                  <c:v>11.771786813672804</c:v>
                </c:pt>
              </c:numCache>
            </c:numRef>
          </c:val>
        </c:ser>
        <c:marker val="1"/>
        <c:axId val="152590976"/>
        <c:axId val="152613248"/>
      </c:lineChart>
      <c:catAx>
        <c:axId val="152590976"/>
        <c:scaling>
          <c:orientation val="minMax"/>
        </c:scaling>
        <c:axPos val="b"/>
        <c:numFmt formatCode="General" sourceLinked="1"/>
        <c:tickLblPos val="nextTo"/>
        <c:crossAx val="152613248"/>
        <c:crosses val="autoZero"/>
        <c:auto val="1"/>
        <c:lblAlgn val="ctr"/>
        <c:lblOffset val="100"/>
      </c:catAx>
      <c:valAx>
        <c:axId val="1526132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9097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8.7482177701413359</c:v>
                </c:pt>
                <c:pt idx="2">
                  <c:v>8.7044130589512125</c:v>
                </c:pt>
              </c:numCache>
            </c:numRef>
          </c:val>
        </c:ser>
        <c:ser>
          <c:idx val="3"/>
          <c:order val="3"/>
          <c:tx>
            <c:strRef>
              <c:f>Sheet1!$AL$383</c:f>
              <c:strCache>
                <c:ptCount val="1"/>
                <c:pt idx="0">
                  <c:v>Cheshire East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7.52705208837284</c:v>
                </c:pt>
                <c:pt idx="1">
                  <c:v>7.7119987444087004</c:v>
                </c:pt>
                <c:pt idx="2">
                  <c:v>7.5089068508200532</c:v>
                </c:pt>
              </c:numCache>
            </c:numRef>
          </c:val>
        </c:ser>
        <c:axId val="152775680"/>
        <c:axId val="152789760"/>
      </c:barChart>
      <c:catAx>
        <c:axId val="152775680"/>
        <c:scaling>
          <c:orientation val="minMax"/>
        </c:scaling>
        <c:axPos val="b"/>
        <c:numFmt formatCode="General" sourceLinked="1"/>
        <c:tickLblPos val="nextTo"/>
        <c:crossAx val="152789760"/>
        <c:crosses val="autoZero"/>
        <c:auto val="1"/>
        <c:lblAlgn val="ctr"/>
        <c:lblOffset val="100"/>
      </c:catAx>
      <c:valAx>
        <c:axId val="152789760"/>
        <c:scaling>
          <c:orientation val="minMax"/>
        </c:scaling>
        <c:axPos val="l"/>
        <c:majorGridlines/>
        <c:numFmt formatCode="General" sourceLinked="1"/>
        <c:tickLblPos val="nextTo"/>
        <c:txPr>
          <a:bodyPr/>
          <a:lstStyle/>
          <a:p>
            <a:pPr>
              <a:defRPr sz="800"/>
            </a:pPr>
            <a:endParaRPr lang="en-US"/>
          </a:p>
        </c:txPr>
        <c:crossAx val="15277568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8.7988507605854611</c:v>
                </c:pt>
                <c:pt idx="2">
                  <c:v>8.8226755598620965</c:v>
                </c:pt>
              </c:numCache>
            </c:numRef>
          </c:val>
        </c:ser>
        <c:ser>
          <c:idx val="3"/>
          <c:order val="3"/>
          <c:tx>
            <c:strRef>
              <c:f>Sheet1!$P$383</c:f>
              <c:strCache>
                <c:ptCount val="1"/>
                <c:pt idx="0">
                  <c:v>Cheshire East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9.4822931417976992</c:v>
                </c:pt>
                <c:pt idx="1">
                  <c:v>9.4996747744008694</c:v>
                </c:pt>
                <c:pt idx="2">
                  <c:v>9.5164842517042736</c:v>
                </c:pt>
              </c:numCache>
            </c:numRef>
          </c:val>
        </c:ser>
        <c:marker val="1"/>
        <c:axId val="152808448"/>
        <c:axId val="152703744"/>
      </c:lineChart>
      <c:catAx>
        <c:axId val="152808448"/>
        <c:scaling>
          <c:orientation val="minMax"/>
        </c:scaling>
        <c:axPos val="b"/>
        <c:numFmt formatCode="General" sourceLinked="1"/>
        <c:tickLblPos val="nextTo"/>
        <c:crossAx val="152703744"/>
        <c:crosses val="autoZero"/>
        <c:auto val="1"/>
        <c:lblAlgn val="ctr"/>
        <c:lblOffset val="100"/>
      </c:catAx>
      <c:valAx>
        <c:axId val="1527037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0844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9.2299513836374132</c:v>
                </c:pt>
                <c:pt idx="1">
                  <c:v>9.2364514119425181</c:v>
                </c:pt>
                <c:pt idx="2">
                  <c:v>9.2416858176738454</c:v>
                </c:pt>
              </c:numCache>
            </c:numRef>
          </c:val>
        </c:ser>
        <c:ser>
          <c:idx val="3"/>
          <c:order val="3"/>
          <c:tx>
            <c:strRef>
              <c:f>Sheet1!$AW$383</c:f>
              <c:strCache>
                <c:ptCount val="1"/>
                <c:pt idx="0">
                  <c:v>Cheshire East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9.1087324625060493</c:v>
                </c:pt>
                <c:pt idx="1">
                  <c:v>9.1328180177352305</c:v>
                </c:pt>
                <c:pt idx="2">
                  <c:v>9.1877501373302994</c:v>
                </c:pt>
              </c:numCache>
            </c:numRef>
          </c:val>
        </c:ser>
        <c:axId val="152739200"/>
        <c:axId val="152749184"/>
      </c:barChart>
      <c:catAx>
        <c:axId val="152739200"/>
        <c:scaling>
          <c:orientation val="minMax"/>
        </c:scaling>
        <c:axPos val="b"/>
        <c:numFmt formatCode="General" sourceLinked="1"/>
        <c:tickLblPos val="nextTo"/>
        <c:crossAx val="152749184"/>
        <c:crosses val="autoZero"/>
        <c:auto val="1"/>
        <c:lblAlgn val="ctr"/>
        <c:lblOffset val="100"/>
      </c:catAx>
      <c:valAx>
        <c:axId val="152749184"/>
        <c:scaling>
          <c:orientation val="minMax"/>
        </c:scaling>
        <c:axPos val="l"/>
        <c:majorGridlines/>
        <c:numFmt formatCode="General" sourceLinked="1"/>
        <c:tickLblPos val="nextTo"/>
        <c:txPr>
          <a:bodyPr/>
          <a:lstStyle/>
          <a:p>
            <a:pPr>
              <a:defRPr sz="800"/>
            </a:pPr>
            <a:endParaRPr lang="en-US"/>
          </a:p>
        </c:txPr>
        <c:crossAx val="15273920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Cheshire East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7.9570173889945703</c:v>
                </c:pt>
                <c:pt idx="1">
                  <c:v>7.8846473552979299</c:v>
                </c:pt>
                <c:pt idx="2">
                  <c:v>8.0265483019184192</c:v>
                </c:pt>
              </c:numCache>
            </c:numRef>
          </c:val>
        </c:ser>
        <c:marker val="1"/>
        <c:axId val="152837504"/>
        <c:axId val="152851584"/>
      </c:lineChart>
      <c:catAx>
        <c:axId val="152837504"/>
        <c:scaling>
          <c:orientation val="minMax"/>
        </c:scaling>
        <c:axPos val="b"/>
        <c:numFmt formatCode="General" sourceLinked="1"/>
        <c:tickLblPos val="nextTo"/>
        <c:crossAx val="152851584"/>
        <c:crosses val="autoZero"/>
        <c:auto val="1"/>
        <c:lblAlgn val="ctr"/>
        <c:lblOffset val="100"/>
      </c:catAx>
      <c:valAx>
        <c:axId val="1528515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3750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Cheshire East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2887296"/>
        <c:axId val="152888832"/>
      </c:barChart>
      <c:catAx>
        <c:axId val="152887296"/>
        <c:scaling>
          <c:orientation val="minMax"/>
        </c:scaling>
        <c:axPos val="b"/>
        <c:numFmt formatCode="General" sourceLinked="1"/>
        <c:tickLblPos val="nextTo"/>
        <c:crossAx val="152888832"/>
        <c:crosses val="autoZero"/>
        <c:auto val="1"/>
        <c:lblAlgn val="ctr"/>
        <c:lblOffset val="100"/>
      </c:catAx>
      <c:valAx>
        <c:axId val="152888832"/>
        <c:scaling>
          <c:orientation val="minMax"/>
        </c:scaling>
        <c:axPos val="l"/>
        <c:majorGridlines/>
        <c:numFmt formatCode="General" sourceLinked="1"/>
        <c:tickLblPos val="nextTo"/>
        <c:txPr>
          <a:bodyPr/>
          <a:lstStyle/>
          <a:p>
            <a:pPr>
              <a:defRPr sz="800"/>
            </a:pPr>
            <a:endParaRPr lang="en-US"/>
          </a:p>
        </c:txPr>
        <c:crossAx val="15288729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18.490763168018777</c:v>
                </c:pt>
              </c:numCache>
            </c:numRef>
          </c:val>
        </c:ser>
        <c:ser>
          <c:idx val="3"/>
          <c:order val="3"/>
          <c:tx>
            <c:strRef>
              <c:f>Sheet1!$E$383</c:f>
              <c:strCache>
                <c:ptCount val="1"/>
                <c:pt idx="0">
                  <c:v>Cheshire East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20.3363779421556</c:v>
                </c:pt>
                <c:pt idx="1">
                  <c:v>20.710285288193202</c:v>
                </c:pt>
                <c:pt idx="2">
                  <c:v>20.964205581607189</c:v>
                </c:pt>
              </c:numCache>
            </c:numRef>
          </c:val>
        </c:ser>
        <c:marker val="1"/>
        <c:axId val="152944640"/>
        <c:axId val="152946176"/>
      </c:lineChart>
      <c:catAx>
        <c:axId val="152944640"/>
        <c:scaling>
          <c:orientation val="minMax"/>
        </c:scaling>
        <c:axPos val="b"/>
        <c:numFmt formatCode="General" sourceLinked="1"/>
        <c:tickLblPos val="nextTo"/>
        <c:crossAx val="152946176"/>
        <c:crosses val="autoZero"/>
        <c:auto val="1"/>
        <c:lblAlgn val="ctr"/>
        <c:lblOffset val="100"/>
      </c:catAx>
      <c:valAx>
        <c:axId val="152946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4464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Cheshire East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2.0902147283470232</c:v>
                </c:pt>
                <c:pt idx="1">
                  <c:v>2.0766880236569669</c:v>
                </c:pt>
                <c:pt idx="2">
                  <c:v>2.1248398225727012</c:v>
                </c:pt>
              </c:numCache>
            </c:numRef>
          </c:val>
        </c:ser>
        <c:axId val="153063424"/>
        <c:axId val="153064960"/>
      </c:barChart>
      <c:catAx>
        <c:axId val="153063424"/>
        <c:scaling>
          <c:orientation val="minMax"/>
        </c:scaling>
        <c:axPos val="b"/>
        <c:numFmt formatCode="General" sourceLinked="1"/>
        <c:tickLblPos val="nextTo"/>
        <c:crossAx val="153064960"/>
        <c:crosses val="autoZero"/>
        <c:auto val="1"/>
        <c:lblAlgn val="ctr"/>
        <c:lblOffset val="100"/>
      </c:catAx>
      <c:valAx>
        <c:axId val="153064960"/>
        <c:scaling>
          <c:orientation val="minMax"/>
        </c:scaling>
        <c:axPos val="l"/>
        <c:majorGridlines/>
        <c:numFmt formatCode="General" sourceLinked="1"/>
        <c:tickLblPos val="nextTo"/>
        <c:txPr>
          <a:bodyPr/>
          <a:lstStyle/>
          <a:p>
            <a:pPr>
              <a:defRPr sz="800"/>
            </a:pPr>
            <a:endParaRPr lang="en-US"/>
          </a:p>
        </c:txPr>
        <c:crossAx val="15306342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Cheshire East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14.61846600680961</c:v>
                </c:pt>
                <c:pt idx="1">
                  <c:v>14.621113795712178</c:v>
                </c:pt>
                <c:pt idx="2">
                  <c:v>14.6261832091524</c:v>
                </c:pt>
              </c:numCache>
            </c:numRef>
          </c:val>
        </c:ser>
        <c:marker val="1"/>
        <c:axId val="152965120"/>
        <c:axId val="152966656"/>
      </c:lineChart>
      <c:catAx>
        <c:axId val="152965120"/>
        <c:scaling>
          <c:orientation val="minMax"/>
        </c:scaling>
        <c:axPos val="b"/>
        <c:numFmt formatCode="General" sourceLinked="1"/>
        <c:tickLblPos val="nextTo"/>
        <c:crossAx val="152966656"/>
        <c:crosses val="autoZero"/>
        <c:auto val="1"/>
        <c:lblAlgn val="ctr"/>
        <c:lblOffset val="100"/>
      </c:catAx>
      <c:valAx>
        <c:axId val="1529666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6512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5.9816196336487604</c:v>
                </c:pt>
                <c:pt idx="1">
                  <c:v>6.0047308728827806</c:v>
                </c:pt>
                <c:pt idx="2">
                  <c:v>6.0044984710272296</c:v>
                </c:pt>
              </c:numCache>
            </c:numRef>
          </c:val>
        </c:ser>
        <c:ser>
          <c:idx val="3"/>
          <c:order val="3"/>
          <c:tx>
            <c:strRef>
              <c:f>Sheet1!$AW$383</c:f>
              <c:strCache>
                <c:ptCount val="1"/>
                <c:pt idx="0">
                  <c:v>Cheshire East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3.2221741845606999</c:v>
                </c:pt>
                <c:pt idx="1">
                  <c:v>3.2496796451453926</c:v>
                </c:pt>
                <c:pt idx="2">
                  <c:v>3.4722523410547059</c:v>
                </c:pt>
              </c:numCache>
            </c:numRef>
          </c:val>
        </c:ser>
        <c:axId val="153002368"/>
        <c:axId val="153003904"/>
      </c:barChart>
      <c:catAx>
        <c:axId val="153002368"/>
        <c:scaling>
          <c:orientation val="minMax"/>
        </c:scaling>
        <c:axPos val="b"/>
        <c:numFmt formatCode="General" sourceLinked="1"/>
        <c:tickLblPos val="nextTo"/>
        <c:crossAx val="153003904"/>
        <c:crosses val="autoZero"/>
        <c:auto val="1"/>
        <c:lblAlgn val="ctr"/>
        <c:lblOffset val="100"/>
      </c:catAx>
      <c:valAx>
        <c:axId val="153003904"/>
        <c:scaling>
          <c:orientation val="minMax"/>
        </c:scaling>
        <c:axPos val="l"/>
        <c:majorGridlines/>
        <c:numFmt formatCode="General" sourceLinked="1"/>
        <c:tickLblPos val="nextTo"/>
        <c:txPr>
          <a:bodyPr/>
          <a:lstStyle/>
          <a:p>
            <a:pPr>
              <a:defRPr sz="800"/>
            </a:pPr>
            <a:endParaRPr lang="en-US"/>
          </a:p>
        </c:txPr>
        <c:crossAx val="15300236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9.2310918825645256</c:v>
                </c:pt>
                <c:pt idx="1">
                  <c:v>9.1993162844436807</c:v>
                </c:pt>
                <c:pt idx="2">
                  <c:v>9.2932083296065606</c:v>
                </c:pt>
              </c:numCache>
            </c:numRef>
          </c:val>
        </c:ser>
        <c:ser>
          <c:idx val="4"/>
          <c:order val="3"/>
          <c:tx>
            <c:strRef>
              <c:f>Sheet1!$P$383</c:f>
              <c:strCache>
                <c:ptCount val="1"/>
                <c:pt idx="0">
                  <c:v>Cheshire East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10.132405811653706</c:v>
                </c:pt>
                <c:pt idx="1">
                  <c:v>10.245565576958199</c:v>
                </c:pt>
                <c:pt idx="2">
                  <c:v>10.140776446201999</c:v>
                </c:pt>
              </c:numCache>
            </c:numRef>
          </c:val>
        </c:ser>
        <c:marker val="1"/>
        <c:axId val="151769088"/>
        <c:axId val="151770624"/>
      </c:lineChart>
      <c:catAx>
        <c:axId val="151769088"/>
        <c:scaling>
          <c:orientation val="minMax"/>
        </c:scaling>
        <c:axPos val="b"/>
        <c:numFmt formatCode="General" sourceLinked="1"/>
        <c:tickLblPos val="nextTo"/>
        <c:crossAx val="151770624"/>
        <c:crosses val="autoZero"/>
        <c:auto val="1"/>
        <c:lblAlgn val="ctr"/>
        <c:lblOffset val="100"/>
      </c:catAx>
      <c:valAx>
        <c:axId val="151770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6908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10.351956869263356</c:v>
                </c:pt>
              </c:numCache>
            </c:numRef>
          </c:val>
        </c:ser>
        <c:ser>
          <c:idx val="3"/>
          <c:order val="3"/>
          <c:tx>
            <c:strRef>
              <c:f>Sheet1!$AA$383</c:f>
              <c:strCache>
                <c:ptCount val="1"/>
                <c:pt idx="0">
                  <c:v>Cheshire East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10.483147619980318</c:v>
                </c:pt>
                <c:pt idx="1">
                  <c:v>10.370537891057923</c:v>
                </c:pt>
                <c:pt idx="2">
                  <c:v>10.539996256543619</c:v>
                </c:pt>
              </c:numCache>
            </c:numRef>
          </c:val>
        </c:ser>
        <c:marker val="1"/>
        <c:axId val="153178496"/>
        <c:axId val="153180032"/>
      </c:lineChart>
      <c:catAx>
        <c:axId val="153178496"/>
        <c:scaling>
          <c:orientation val="minMax"/>
        </c:scaling>
        <c:axPos val="b"/>
        <c:numFmt formatCode="General" sourceLinked="1"/>
        <c:tickLblPos val="nextTo"/>
        <c:crossAx val="153180032"/>
        <c:crosses val="autoZero"/>
        <c:auto val="1"/>
        <c:lblAlgn val="ctr"/>
        <c:lblOffset val="100"/>
      </c:catAx>
      <c:valAx>
        <c:axId val="1531800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7849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9.5516369246113406</c:v>
                </c:pt>
                <c:pt idx="1">
                  <c:v>9.5547342017711507</c:v>
                </c:pt>
                <c:pt idx="2">
                  <c:v>9.4974505213619267</c:v>
                </c:pt>
              </c:numCache>
            </c:numRef>
          </c:val>
        </c:ser>
        <c:ser>
          <c:idx val="3"/>
          <c:order val="3"/>
          <c:tx>
            <c:strRef>
              <c:f>Sheet1!$BH$383</c:f>
              <c:strCache>
                <c:ptCount val="1"/>
                <c:pt idx="0">
                  <c:v>Cheshire East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9.8069366383244692</c:v>
                </c:pt>
                <c:pt idx="1">
                  <c:v>9.95919172005914</c:v>
                </c:pt>
                <c:pt idx="2">
                  <c:v>9.8648102513553528</c:v>
                </c:pt>
              </c:numCache>
            </c:numRef>
          </c:val>
        </c:ser>
        <c:axId val="153101056"/>
        <c:axId val="153102592"/>
      </c:barChart>
      <c:catAx>
        <c:axId val="153101056"/>
        <c:scaling>
          <c:orientation val="minMax"/>
        </c:scaling>
        <c:axPos val="b"/>
        <c:numFmt formatCode="General" sourceLinked="1"/>
        <c:tickLblPos val="nextTo"/>
        <c:crossAx val="153102592"/>
        <c:crosses val="autoZero"/>
        <c:auto val="1"/>
        <c:lblAlgn val="ctr"/>
        <c:lblOffset val="100"/>
      </c:catAx>
      <c:valAx>
        <c:axId val="153102592"/>
        <c:scaling>
          <c:orientation val="minMax"/>
        </c:scaling>
        <c:axPos val="l"/>
        <c:majorGridlines/>
        <c:numFmt formatCode="General" sourceLinked="1"/>
        <c:tickLblPos val="nextTo"/>
        <c:txPr>
          <a:bodyPr/>
          <a:lstStyle/>
          <a:p>
            <a:pPr>
              <a:defRPr sz="800"/>
            </a:pPr>
            <a:endParaRPr lang="en-US"/>
          </a:p>
        </c:txPr>
        <c:crossAx val="153101056"/>
        <c:crosses val="autoZero"/>
        <c:crossBetween val="between"/>
      </c:valAx>
    </c:plotArea>
    <c:legend>
      <c:legendPos val="r"/>
      <c:txPr>
        <a:bodyPr/>
        <a:lstStyle/>
        <a:p>
          <a:pPr>
            <a:defRPr sz="9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21.426829812779022</c:v>
                </c:pt>
              </c:numCache>
            </c:numRef>
          </c:val>
        </c:ser>
        <c:ser>
          <c:idx val="3"/>
          <c:order val="3"/>
          <c:tx>
            <c:strRef>
              <c:f>Sheet1!$E$383</c:f>
              <c:strCache>
                <c:ptCount val="1"/>
                <c:pt idx="0">
                  <c:v>Cheshire East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22.526123081095889</c:v>
                </c:pt>
                <c:pt idx="1">
                  <c:v>22.990292521600189</c:v>
                </c:pt>
                <c:pt idx="2">
                  <c:v>22.771654626785299</c:v>
                </c:pt>
              </c:numCache>
            </c:numRef>
          </c:val>
        </c:ser>
        <c:marker val="1"/>
        <c:axId val="153146112"/>
        <c:axId val="153147648"/>
      </c:lineChart>
      <c:catAx>
        <c:axId val="153146112"/>
        <c:scaling>
          <c:orientation val="minMax"/>
        </c:scaling>
        <c:axPos val="b"/>
        <c:numFmt formatCode="General" sourceLinked="1"/>
        <c:tickLblPos val="nextTo"/>
        <c:crossAx val="153147648"/>
        <c:crosses val="autoZero"/>
        <c:auto val="1"/>
        <c:lblAlgn val="ctr"/>
        <c:lblOffset val="100"/>
      </c:catAx>
      <c:valAx>
        <c:axId val="153147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4611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2.6371177238046188</c:v>
                </c:pt>
              </c:numCache>
            </c:numRef>
          </c:val>
        </c:ser>
        <c:ser>
          <c:idx val="3"/>
          <c:order val="3"/>
          <c:tx>
            <c:strRef>
              <c:f>Sheet1!$AL$383</c:f>
              <c:strCache>
                <c:ptCount val="1"/>
                <c:pt idx="0">
                  <c:v>Cheshire East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1.5429346543996187</c:v>
                </c:pt>
                <c:pt idx="1">
                  <c:v>1.5537827178200099</c:v>
                </c:pt>
                <c:pt idx="2">
                  <c:v>1.58641089996414</c:v>
                </c:pt>
              </c:numCache>
            </c:numRef>
          </c:val>
        </c:ser>
        <c:axId val="153257088"/>
        <c:axId val="153258624"/>
      </c:barChart>
      <c:catAx>
        <c:axId val="153257088"/>
        <c:scaling>
          <c:orientation val="minMax"/>
        </c:scaling>
        <c:axPos val="b"/>
        <c:numFmt formatCode="General" sourceLinked="1"/>
        <c:tickLblPos val="nextTo"/>
        <c:crossAx val="153258624"/>
        <c:crosses val="autoZero"/>
        <c:auto val="1"/>
        <c:lblAlgn val="ctr"/>
        <c:lblOffset val="100"/>
      </c:catAx>
      <c:valAx>
        <c:axId val="153258624"/>
        <c:scaling>
          <c:orientation val="minMax"/>
        </c:scaling>
        <c:axPos val="l"/>
        <c:majorGridlines/>
        <c:numFmt formatCode="General" sourceLinked="1"/>
        <c:tickLblPos val="nextTo"/>
        <c:txPr>
          <a:bodyPr/>
          <a:lstStyle/>
          <a:p>
            <a:pPr>
              <a:defRPr sz="800"/>
            </a:pPr>
            <a:endParaRPr lang="en-US"/>
          </a:p>
        </c:txPr>
        <c:crossAx val="15325708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16.111891817075506</c:v>
                </c:pt>
                <c:pt idx="2">
                  <c:v>16.71579768797783</c:v>
                </c:pt>
              </c:numCache>
            </c:numRef>
          </c:val>
        </c:ser>
        <c:ser>
          <c:idx val="3"/>
          <c:order val="3"/>
          <c:tx>
            <c:strRef>
              <c:f>Sheet1!$P$383</c:f>
              <c:strCache>
                <c:ptCount val="1"/>
                <c:pt idx="0">
                  <c:v>Cheshire East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16.098938281277189</c:v>
                </c:pt>
                <c:pt idx="1">
                  <c:v>16.111340119128801</c:v>
                </c:pt>
                <c:pt idx="2">
                  <c:v>15.979040102109215</c:v>
                </c:pt>
              </c:numCache>
            </c:numRef>
          </c:val>
        </c:ser>
        <c:marker val="1"/>
        <c:axId val="153371776"/>
        <c:axId val="153373312"/>
      </c:lineChart>
      <c:catAx>
        <c:axId val="153371776"/>
        <c:scaling>
          <c:orientation val="minMax"/>
        </c:scaling>
        <c:axPos val="b"/>
        <c:numFmt formatCode="General" sourceLinked="1"/>
        <c:tickLblPos val="nextTo"/>
        <c:crossAx val="153373312"/>
        <c:crosses val="autoZero"/>
        <c:auto val="1"/>
        <c:lblAlgn val="ctr"/>
        <c:lblOffset val="100"/>
      </c:catAx>
      <c:valAx>
        <c:axId val="1533733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7177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4.8727064935325552</c:v>
                </c:pt>
                <c:pt idx="1">
                  <c:v>4.8456692932076137</c:v>
                </c:pt>
                <c:pt idx="2">
                  <c:v>4.5210009507354885</c:v>
                </c:pt>
              </c:numCache>
            </c:numRef>
          </c:val>
        </c:ser>
        <c:ser>
          <c:idx val="3"/>
          <c:order val="3"/>
          <c:tx>
            <c:strRef>
              <c:f>Sheet1!$AW$383</c:f>
              <c:strCache>
                <c:ptCount val="1"/>
                <c:pt idx="0">
                  <c:v>Cheshire East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2.2362585515451787</c:v>
                </c:pt>
                <c:pt idx="1">
                  <c:v>2.2692123819768102</c:v>
                </c:pt>
                <c:pt idx="2">
                  <c:v>2.35622086769451</c:v>
                </c:pt>
              </c:numCache>
            </c:numRef>
          </c:val>
        </c:ser>
        <c:axId val="153413120"/>
        <c:axId val="153414656"/>
      </c:barChart>
      <c:catAx>
        <c:axId val="153413120"/>
        <c:scaling>
          <c:orientation val="minMax"/>
        </c:scaling>
        <c:axPos val="b"/>
        <c:numFmt formatCode="General" sourceLinked="1"/>
        <c:tickLblPos val="nextTo"/>
        <c:crossAx val="153414656"/>
        <c:crosses val="autoZero"/>
        <c:auto val="1"/>
        <c:lblAlgn val="ctr"/>
        <c:lblOffset val="100"/>
      </c:catAx>
      <c:valAx>
        <c:axId val="153414656"/>
        <c:scaling>
          <c:orientation val="minMax"/>
        </c:scaling>
        <c:axPos val="l"/>
        <c:majorGridlines/>
        <c:numFmt formatCode="General" sourceLinked="1"/>
        <c:tickLblPos val="nextTo"/>
        <c:txPr>
          <a:bodyPr/>
          <a:lstStyle/>
          <a:p>
            <a:pPr>
              <a:defRPr sz="800"/>
            </a:pPr>
            <a:endParaRPr lang="en-US"/>
          </a:p>
        </c:txPr>
        <c:crossAx val="15341312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11.141171318577406</c:v>
                </c:pt>
                <c:pt idx="1">
                  <c:v>10.908017950822837</c:v>
                </c:pt>
                <c:pt idx="2">
                  <c:v>11.592536797179001</c:v>
                </c:pt>
              </c:numCache>
            </c:numRef>
          </c:val>
        </c:ser>
        <c:ser>
          <c:idx val="3"/>
          <c:order val="3"/>
          <c:tx>
            <c:strRef>
              <c:f>Sheet1!$AA$383</c:f>
              <c:strCache>
                <c:ptCount val="1"/>
                <c:pt idx="0">
                  <c:v>Cheshire East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11.3423567842836</c:v>
                </c:pt>
                <c:pt idx="1">
                  <c:v>11.179206909044408</c:v>
                </c:pt>
                <c:pt idx="2">
                  <c:v>11.2658762425405</c:v>
                </c:pt>
              </c:numCache>
            </c:numRef>
          </c:val>
        </c:ser>
        <c:marker val="1"/>
        <c:axId val="153327104"/>
        <c:axId val="153328640"/>
      </c:lineChart>
      <c:catAx>
        <c:axId val="153327104"/>
        <c:scaling>
          <c:orientation val="minMax"/>
        </c:scaling>
        <c:axPos val="b"/>
        <c:numFmt formatCode="General" sourceLinked="1"/>
        <c:tickLblPos val="nextTo"/>
        <c:crossAx val="153328640"/>
        <c:crosses val="autoZero"/>
        <c:auto val="1"/>
        <c:lblAlgn val="ctr"/>
        <c:lblOffset val="100"/>
      </c:catAx>
      <c:valAx>
        <c:axId val="1533286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2710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9.0493602510928763</c:v>
                </c:pt>
                <c:pt idx="1">
                  <c:v>8.9301772499594332</c:v>
                </c:pt>
                <c:pt idx="2">
                  <c:v>8.7141112110785439</c:v>
                </c:pt>
              </c:numCache>
            </c:numRef>
          </c:val>
        </c:ser>
        <c:ser>
          <c:idx val="3"/>
          <c:order val="3"/>
          <c:tx>
            <c:strRef>
              <c:f>Sheet1!$BH$383</c:f>
              <c:strCache>
                <c:ptCount val="1"/>
                <c:pt idx="0">
                  <c:v>Cheshire East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9.4045765510733705</c:v>
                </c:pt>
                <c:pt idx="1">
                  <c:v>9.6478427154296593</c:v>
                </c:pt>
                <c:pt idx="2">
                  <c:v>9.2269033106250689</c:v>
                </c:pt>
              </c:numCache>
            </c:numRef>
          </c:val>
        </c:ser>
        <c:axId val="153499904"/>
        <c:axId val="153522176"/>
      </c:barChart>
      <c:catAx>
        <c:axId val="153499904"/>
        <c:scaling>
          <c:orientation val="minMax"/>
        </c:scaling>
        <c:axPos val="b"/>
        <c:numFmt formatCode="General" sourceLinked="1"/>
        <c:tickLblPos val="nextTo"/>
        <c:crossAx val="153522176"/>
        <c:crosses val="autoZero"/>
        <c:auto val="1"/>
        <c:lblAlgn val="ctr"/>
        <c:lblOffset val="100"/>
      </c:catAx>
      <c:valAx>
        <c:axId val="153522176"/>
        <c:scaling>
          <c:orientation val="minMax"/>
        </c:scaling>
        <c:axPos val="l"/>
        <c:majorGridlines/>
        <c:numFmt formatCode="General" sourceLinked="1"/>
        <c:tickLblPos val="nextTo"/>
        <c:txPr>
          <a:bodyPr/>
          <a:lstStyle/>
          <a:p>
            <a:pPr>
              <a:defRPr sz="800"/>
            </a:pPr>
            <a:endParaRPr lang="en-US"/>
          </a:p>
        </c:txPr>
        <c:crossAx val="15349990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Cheshire East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15.552891709785102</c:v>
                </c:pt>
                <c:pt idx="1">
                  <c:v>14.987618568566402</c:v>
                </c:pt>
              </c:numCache>
            </c:numRef>
          </c:val>
        </c:ser>
        <c:marker val="1"/>
        <c:axId val="153544960"/>
        <c:axId val="153419776"/>
      </c:lineChart>
      <c:catAx>
        <c:axId val="153544960"/>
        <c:scaling>
          <c:orientation val="minMax"/>
        </c:scaling>
        <c:axPos val="b"/>
        <c:numFmt formatCode="General" sourceLinked="1"/>
        <c:tickLblPos val="nextTo"/>
        <c:crossAx val="153419776"/>
        <c:crosses val="autoZero"/>
        <c:auto val="1"/>
        <c:lblAlgn val="ctr"/>
        <c:lblOffset val="100"/>
      </c:catAx>
      <c:valAx>
        <c:axId val="153419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4496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Cheshire East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3.5222125408625522</c:v>
                </c:pt>
                <c:pt idx="1">
                  <c:v>4.668552374101596</c:v>
                </c:pt>
              </c:numCache>
            </c:numRef>
          </c:val>
        </c:ser>
        <c:axId val="153463424"/>
        <c:axId val="153473408"/>
      </c:barChart>
      <c:catAx>
        <c:axId val="153463424"/>
        <c:scaling>
          <c:orientation val="minMax"/>
        </c:scaling>
        <c:axPos val="b"/>
        <c:numFmt formatCode="General" sourceLinked="1"/>
        <c:tickLblPos val="nextTo"/>
        <c:crossAx val="153473408"/>
        <c:crosses val="autoZero"/>
        <c:auto val="1"/>
        <c:lblAlgn val="ctr"/>
        <c:lblOffset val="100"/>
      </c:catAx>
      <c:valAx>
        <c:axId val="153473408"/>
        <c:scaling>
          <c:orientation val="minMax"/>
        </c:scaling>
        <c:axPos val="l"/>
        <c:majorGridlines/>
        <c:numFmt formatCode="General" sourceLinked="1"/>
        <c:tickLblPos val="nextTo"/>
        <c:txPr>
          <a:bodyPr/>
          <a:lstStyle/>
          <a:p>
            <a:pPr>
              <a:defRPr sz="800"/>
            </a:pPr>
            <a:endParaRPr lang="en-US"/>
          </a:p>
        </c:txPr>
        <c:crossAx val="15346342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Cheshire East</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8.037941904692218</c:v>
                </c:pt>
                <c:pt idx="1">
                  <c:v>7.9694341580224535</c:v>
                </c:pt>
                <c:pt idx="2">
                  <c:v>8.0402834554641185</c:v>
                </c:pt>
              </c:numCache>
            </c:numRef>
          </c:val>
        </c:ser>
        <c:marker val="1"/>
        <c:axId val="122659200"/>
        <c:axId val="122660736"/>
      </c:lineChart>
      <c:catAx>
        <c:axId val="122659200"/>
        <c:scaling>
          <c:orientation val="minMax"/>
        </c:scaling>
        <c:axPos val="b"/>
        <c:numFmt formatCode="General" sourceLinked="1"/>
        <c:tickLblPos val="nextTo"/>
        <c:crossAx val="122660736"/>
        <c:crosses val="autoZero"/>
        <c:auto val="1"/>
        <c:lblAlgn val="ctr"/>
        <c:lblOffset val="100"/>
      </c:catAx>
      <c:valAx>
        <c:axId val="12266073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265920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Cheshire East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11.497777074216501</c:v>
                </c:pt>
                <c:pt idx="1">
                  <c:v>11.558986579362415</c:v>
                </c:pt>
              </c:numCache>
            </c:numRef>
          </c:val>
        </c:ser>
        <c:marker val="1"/>
        <c:axId val="153565824"/>
        <c:axId val="153571712"/>
      </c:lineChart>
      <c:catAx>
        <c:axId val="153565824"/>
        <c:scaling>
          <c:orientation val="minMax"/>
        </c:scaling>
        <c:axPos val="b"/>
        <c:numFmt formatCode="General" sourceLinked="1"/>
        <c:tickLblPos val="nextTo"/>
        <c:crossAx val="153571712"/>
        <c:crosses val="autoZero"/>
        <c:auto val="1"/>
        <c:lblAlgn val="ctr"/>
        <c:lblOffset val="100"/>
      </c:catAx>
      <c:valAx>
        <c:axId val="1535717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6582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Cheshire East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4.7775965097668385</c:v>
                </c:pt>
                <c:pt idx="1">
                  <c:v>5.9614913344834504</c:v>
                </c:pt>
              </c:numCache>
            </c:numRef>
          </c:val>
        </c:ser>
        <c:axId val="153619456"/>
        <c:axId val="153633536"/>
      </c:barChart>
      <c:catAx>
        <c:axId val="153619456"/>
        <c:scaling>
          <c:orientation val="minMax"/>
        </c:scaling>
        <c:axPos val="b"/>
        <c:numFmt formatCode="General" sourceLinked="1"/>
        <c:tickLblPos val="nextTo"/>
        <c:crossAx val="153633536"/>
        <c:crosses val="autoZero"/>
        <c:auto val="1"/>
        <c:lblAlgn val="ctr"/>
        <c:lblOffset val="100"/>
      </c:catAx>
      <c:valAx>
        <c:axId val="153633536"/>
        <c:scaling>
          <c:orientation val="minMax"/>
        </c:scaling>
        <c:axPos val="l"/>
        <c:majorGridlines/>
        <c:numFmt formatCode="General" sourceLinked="1"/>
        <c:tickLblPos val="nextTo"/>
        <c:txPr>
          <a:bodyPr/>
          <a:lstStyle/>
          <a:p>
            <a:pPr>
              <a:defRPr sz="800"/>
            </a:pPr>
            <a:endParaRPr lang="en-US"/>
          </a:p>
        </c:txPr>
        <c:crossAx val="15361945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7.7509584863235785</c:v>
                </c:pt>
              </c:numCache>
            </c:numRef>
          </c:val>
        </c:ser>
        <c:ser>
          <c:idx val="3"/>
          <c:order val="3"/>
          <c:tx>
            <c:strRef>
              <c:f>Sheet1!$AA$383</c:f>
              <c:strCache>
                <c:ptCount val="1"/>
                <c:pt idx="0">
                  <c:v>Cheshire East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9.1250663862126604</c:v>
                </c:pt>
                <c:pt idx="1">
                  <c:v>8.7142596272696302</c:v>
                </c:pt>
              </c:numCache>
            </c:numRef>
          </c:val>
        </c:ser>
        <c:marker val="1"/>
        <c:axId val="153672704"/>
        <c:axId val="153678592"/>
      </c:lineChart>
      <c:catAx>
        <c:axId val="153672704"/>
        <c:scaling>
          <c:orientation val="minMax"/>
        </c:scaling>
        <c:axPos val="b"/>
        <c:numFmt formatCode="General" sourceLinked="1"/>
        <c:tickLblPos val="nextTo"/>
        <c:crossAx val="153678592"/>
        <c:crosses val="autoZero"/>
        <c:auto val="1"/>
        <c:lblAlgn val="ctr"/>
        <c:lblOffset val="100"/>
      </c:catAx>
      <c:valAx>
        <c:axId val="1536785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7270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Cheshire East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9.9973118777923986</c:v>
                </c:pt>
                <c:pt idx="1">
                  <c:v>10</c:v>
                </c:pt>
              </c:numCache>
            </c:numRef>
          </c:val>
        </c:ser>
        <c:axId val="153709952"/>
        <c:axId val="153715840"/>
      </c:barChart>
      <c:catAx>
        <c:axId val="153709952"/>
        <c:scaling>
          <c:orientation val="minMax"/>
        </c:scaling>
        <c:axPos val="b"/>
        <c:numFmt formatCode="General" sourceLinked="1"/>
        <c:tickLblPos val="nextTo"/>
        <c:crossAx val="153715840"/>
        <c:crosses val="autoZero"/>
        <c:auto val="1"/>
        <c:lblAlgn val="ctr"/>
        <c:lblOffset val="100"/>
      </c:catAx>
      <c:valAx>
        <c:axId val="153715840"/>
        <c:scaling>
          <c:orientation val="minMax"/>
        </c:scaling>
        <c:axPos val="l"/>
        <c:majorGridlines/>
        <c:numFmt formatCode="General" sourceLinked="1"/>
        <c:tickLblPos val="nextTo"/>
        <c:txPr>
          <a:bodyPr/>
          <a:lstStyle/>
          <a:p>
            <a:pPr>
              <a:defRPr sz="800"/>
            </a:pPr>
            <a:endParaRPr lang="en-US"/>
          </a:p>
        </c:txPr>
        <c:crossAx val="15370995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40.685974659638298</c:v>
                </c:pt>
              </c:numCache>
            </c:numRef>
          </c:val>
        </c:ser>
        <c:ser>
          <c:idx val="3"/>
          <c:order val="3"/>
          <c:tx>
            <c:strRef>
              <c:f>Sheet1!$E$383</c:f>
              <c:strCache>
                <c:ptCount val="1"/>
                <c:pt idx="0">
                  <c:v>Cheshire East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37.988979790079135</c:v>
                </c:pt>
                <c:pt idx="1">
                  <c:v>38.884975238516496</c:v>
                </c:pt>
              </c:numCache>
            </c:numRef>
          </c:val>
        </c:ser>
        <c:marker val="1"/>
        <c:axId val="153763840"/>
        <c:axId val="153765376"/>
      </c:lineChart>
      <c:catAx>
        <c:axId val="153763840"/>
        <c:scaling>
          <c:orientation val="minMax"/>
        </c:scaling>
        <c:axPos val="b"/>
        <c:numFmt formatCode="General" sourceLinked="1"/>
        <c:tickLblPos val="nextTo"/>
        <c:crossAx val="153765376"/>
        <c:crosses val="autoZero"/>
        <c:auto val="1"/>
        <c:lblAlgn val="ctr"/>
        <c:lblOffset val="100"/>
      </c:catAx>
      <c:valAx>
        <c:axId val="1537653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6384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0.37900781781347076</c:v>
                </c:pt>
              </c:numCache>
            </c:numRef>
          </c:val>
        </c:ser>
        <c:ser>
          <c:idx val="3"/>
          <c:order val="3"/>
          <c:tx>
            <c:strRef>
              <c:f>Sheet1!$AL$383</c:f>
              <c:strCache>
                <c:ptCount val="1"/>
                <c:pt idx="0">
                  <c:v>Cheshire East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0.37060244835406647</c:v>
                </c:pt>
                <c:pt idx="1">
                  <c:v>0.38161801013161334</c:v>
                </c:pt>
              </c:numCache>
            </c:numRef>
          </c:val>
        </c:ser>
        <c:axId val="153809280"/>
        <c:axId val="153810816"/>
      </c:barChart>
      <c:catAx>
        <c:axId val="153809280"/>
        <c:scaling>
          <c:orientation val="minMax"/>
        </c:scaling>
        <c:axPos val="b"/>
        <c:numFmt formatCode="General" sourceLinked="1"/>
        <c:tickLblPos val="nextTo"/>
        <c:crossAx val="153810816"/>
        <c:crosses val="autoZero"/>
        <c:auto val="1"/>
        <c:lblAlgn val="ctr"/>
        <c:lblOffset val="100"/>
      </c:catAx>
      <c:valAx>
        <c:axId val="153810816"/>
        <c:scaling>
          <c:orientation val="minMax"/>
        </c:scaling>
        <c:axPos val="l"/>
        <c:majorGridlines/>
        <c:numFmt formatCode="General" sourceLinked="1"/>
        <c:tickLblPos val="nextTo"/>
        <c:txPr>
          <a:bodyPr/>
          <a:lstStyle/>
          <a:p>
            <a:pPr>
              <a:defRPr sz="800"/>
            </a:pPr>
            <a:endParaRPr lang="en-US"/>
          </a:p>
        </c:txPr>
        <c:crossAx val="15380928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Cheshire East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28.032741536917676</c:v>
                </c:pt>
                <c:pt idx="1">
                  <c:v>32.069190552808813</c:v>
                </c:pt>
              </c:numCache>
            </c:numRef>
          </c:val>
        </c:ser>
        <c:marker val="1"/>
        <c:axId val="153895296"/>
        <c:axId val="153896832"/>
      </c:lineChart>
      <c:catAx>
        <c:axId val="153895296"/>
        <c:scaling>
          <c:orientation val="minMax"/>
        </c:scaling>
        <c:axPos val="b"/>
        <c:numFmt formatCode="General" sourceLinked="1"/>
        <c:tickLblPos val="nextTo"/>
        <c:crossAx val="153896832"/>
        <c:crosses val="autoZero"/>
        <c:auto val="1"/>
        <c:lblAlgn val="ctr"/>
        <c:lblOffset val="100"/>
      </c:catAx>
      <c:valAx>
        <c:axId val="1538968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9529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0.63878184168155094</c:v>
                </c:pt>
              </c:numCache>
            </c:numRef>
          </c:val>
        </c:ser>
        <c:ser>
          <c:idx val="3"/>
          <c:order val="3"/>
          <c:tx>
            <c:strRef>
              <c:f>Sheet1!$AW$383</c:f>
              <c:strCache>
                <c:ptCount val="1"/>
                <c:pt idx="0">
                  <c:v>Cheshire East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0.59269695902313002</c:v>
                </c:pt>
                <c:pt idx="1">
                  <c:v>0.47419242750288026</c:v>
                </c:pt>
              </c:numCache>
            </c:numRef>
          </c:val>
        </c:ser>
        <c:axId val="153944832"/>
        <c:axId val="153946368"/>
      </c:barChart>
      <c:catAx>
        <c:axId val="153944832"/>
        <c:scaling>
          <c:orientation val="minMax"/>
        </c:scaling>
        <c:axPos val="b"/>
        <c:numFmt formatCode="General" sourceLinked="1"/>
        <c:tickLblPos val="nextTo"/>
        <c:crossAx val="153946368"/>
        <c:crosses val="autoZero"/>
        <c:auto val="1"/>
        <c:lblAlgn val="ctr"/>
        <c:lblOffset val="100"/>
      </c:catAx>
      <c:valAx>
        <c:axId val="153946368"/>
        <c:scaling>
          <c:orientation val="minMax"/>
        </c:scaling>
        <c:axPos val="l"/>
        <c:majorGridlines/>
        <c:numFmt formatCode="General" sourceLinked="1"/>
        <c:tickLblPos val="nextTo"/>
        <c:txPr>
          <a:bodyPr/>
          <a:lstStyle/>
          <a:p>
            <a:pPr>
              <a:defRPr sz="800"/>
            </a:pPr>
            <a:endParaRPr lang="en-US"/>
          </a:p>
        </c:txPr>
        <c:crossAx val="15394483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Cheshire East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16.387862315438117</c:v>
                </c:pt>
                <c:pt idx="1">
                  <c:v>16.930427180120976</c:v>
                </c:pt>
              </c:numCache>
            </c:numRef>
          </c:val>
        </c:ser>
        <c:marker val="1"/>
        <c:axId val="154002176"/>
        <c:axId val="154003712"/>
      </c:lineChart>
      <c:catAx>
        <c:axId val="154002176"/>
        <c:scaling>
          <c:orientation val="minMax"/>
        </c:scaling>
        <c:axPos val="b"/>
        <c:numFmt formatCode="General" sourceLinked="1"/>
        <c:tickLblPos val="nextTo"/>
        <c:crossAx val="154003712"/>
        <c:crosses val="autoZero"/>
        <c:auto val="1"/>
        <c:lblAlgn val="ctr"/>
        <c:lblOffset val="100"/>
      </c:catAx>
      <c:valAx>
        <c:axId val="1540037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0217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1.6744183226669878</c:v>
                </c:pt>
              </c:numCache>
            </c:numRef>
          </c:val>
        </c:ser>
        <c:ser>
          <c:idx val="3"/>
          <c:order val="3"/>
          <c:tx>
            <c:strRef>
              <c:f>Sheet1!$BH$383</c:f>
              <c:strCache>
                <c:ptCount val="1"/>
                <c:pt idx="0">
                  <c:v>Cheshire East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2.1482916519901423</c:v>
                </c:pt>
                <c:pt idx="1">
                  <c:v>1.9554196816649498</c:v>
                </c:pt>
              </c:numCache>
            </c:numRef>
          </c:val>
        </c:ser>
        <c:axId val="154055808"/>
        <c:axId val="154057344"/>
      </c:barChart>
      <c:catAx>
        <c:axId val="154055808"/>
        <c:scaling>
          <c:orientation val="minMax"/>
        </c:scaling>
        <c:axPos val="b"/>
        <c:numFmt formatCode="General" sourceLinked="1"/>
        <c:tickLblPos val="nextTo"/>
        <c:crossAx val="154057344"/>
        <c:crosses val="autoZero"/>
        <c:auto val="1"/>
        <c:lblAlgn val="ctr"/>
        <c:lblOffset val="100"/>
      </c:catAx>
      <c:valAx>
        <c:axId val="154057344"/>
        <c:scaling>
          <c:orientation val="minMax"/>
        </c:scaling>
        <c:axPos val="l"/>
        <c:majorGridlines/>
        <c:numFmt formatCode="General" sourceLinked="1"/>
        <c:tickLblPos val="nextTo"/>
        <c:txPr>
          <a:bodyPr/>
          <a:lstStyle/>
          <a:p>
            <a:pPr>
              <a:defRPr sz="800"/>
            </a:pPr>
            <a:endParaRPr lang="en-US"/>
          </a:p>
        </c:txPr>
        <c:crossAx val="15405580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Cheshire East</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14.324853162988099</c:v>
                </c:pt>
                <c:pt idx="1">
                  <c:v>13.911129938886306</c:v>
                </c:pt>
                <c:pt idx="2">
                  <c:v>14.7892461486265</c:v>
                </c:pt>
              </c:numCache>
            </c:numRef>
          </c:val>
        </c:ser>
        <c:marker val="1"/>
        <c:axId val="152396544"/>
        <c:axId val="152398080"/>
      </c:lineChart>
      <c:catAx>
        <c:axId val="152396544"/>
        <c:scaling>
          <c:orientation val="minMax"/>
        </c:scaling>
        <c:axPos val="b"/>
        <c:numFmt formatCode="General" sourceLinked="1"/>
        <c:tickLblPos val="nextTo"/>
        <c:crossAx val="152398080"/>
        <c:crosses val="autoZero"/>
        <c:auto val="1"/>
        <c:lblAlgn val="ctr"/>
        <c:lblOffset val="100"/>
      </c:catAx>
      <c:valAx>
        <c:axId val="15239808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9654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Cheshire East</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10.336776203478006</c:v>
                </c:pt>
              </c:numCache>
            </c:numRef>
          </c:val>
        </c:ser>
        <c:axId val="154154112"/>
        <c:axId val="154155648"/>
      </c:barChart>
      <c:catAx>
        <c:axId val="154154112"/>
        <c:scaling>
          <c:orientation val="minMax"/>
        </c:scaling>
        <c:axPos val="b"/>
        <c:numFmt formatCode="General" sourceLinked="1"/>
        <c:tickLblPos val="nextTo"/>
        <c:crossAx val="154155648"/>
        <c:crosses val="autoZero"/>
        <c:auto val="1"/>
        <c:lblAlgn val="ctr"/>
        <c:lblOffset val="100"/>
      </c:catAx>
      <c:valAx>
        <c:axId val="154155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541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8.6847606731707678</c:v>
                </c:pt>
              </c:numCache>
            </c:numRef>
          </c:val>
        </c:ser>
        <c:ser>
          <c:idx val="3"/>
          <c:order val="3"/>
          <c:tx>
            <c:strRef>
              <c:f>Sheet1!$AL$383</c:f>
              <c:strCache>
                <c:ptCount val="1"/>
                <c:pt idx="0">
                  <c:v>Cheshire East</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8.4741985235398491</c:v>
                </c:pt>
              </c:numCache>
            </c:numRef>
          </c:val>
        </c:ser>
        <c:axId val="154199168"/>
        <c:axId val="154200704"/>
      </c:barChart>
      <c:catAx>
        <c:axId val="154199168"/>
        <c:scaling>
          <c:orientation val="minMax"/>
        </c:scaling>
        <c:axPos val="b"/>
        <c:numFmt formatCode="General" sourceLinked="1"/>
        <c:tickLblPos val="nextTo"/>
        <c:crossAx val="154200704"/>
        <c:crosses val="autoZero"/>
        <c:auto val="1"/>
        <c:lblAlgn val="ctr"/>
        <c:lblOffset val="100"/>
      </c:catAx>
      <c:valAx>
        <c:axId val="154200704"/>
        <c:scaling>
          <c:orientation val="minMax"/>
        </c:scaling>
        <c:axPos val="l"/>
        <c:majorGridlines/>
        <c:numFmt formatCode="General" sourceLinked="1"/>
        <c:tickLblPos val="nextTo"/>
        <c:txPr>
          <a:bodyPr/>
          <a:lstStyle/>
          <a:p>
            <a:pPr>
              <a:defRPr sz="800"/>
            </a:pPr>
            <a:endParaRPr lang="en-US"/>
          </a:p>
        </c:txPr>
        <c:crossAx val="1541991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Cheshire East</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7.7919961251658902</c:v>
                </c:pt>
              </c:numCache>
            </c:numRef>
          </c:val>
        </c:ser>
        <c:axId val="154112768"/>
        <c:axId val="154114304"/>
      </c:barChart>
      <c:catAx>
        <c:axId val="154112768"/>
        <c:scaling>
          <c:orientation val="minMax"/>
        </c:scaling>
        <c:axPos val="b"/>
        <c:numFmt formatCode="General" sourceLinked="1"/>
        <c:tickLblPos val="nextTo"/>
        <c:crossAx val="154114304"/>
        <c:crosses val="autoZero"/>
        <c:auto val="1"/>
        <c:lblAlgn val="ctr"/>
        <c:lblOffset val="100"/>
      </c:catAx>
      <c:valAx>
        <c:axId val="154114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127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9.9015181778305195</c:v>
                </c:pt>
              </c:numCache>
            </c:numRef>
          </c:val>
        </c:ser>
        <c:ser>
          <c:idx val="3"/>
          <c:order val="3"/>
          <c:tx>
            <c:strRef>
              <c:f>Sheet1!$AW$383</c:f>
              <c:strCache>
                <c:ptCount val="1"/>
                <c:pt idx="0">
                  <c:v>Cheshire East</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9.9938795788857728</c:v>
                </c:pt>
              </c:numCache>
            </c:numRef>
          </c:val>
        </c:ser>
        <c:axId val="154358912"/>
        <c:axId val="154360448"/>
      </c:barChart>
      <c:catAx>
        <c:axId val="154358912"/>
        <c:scaling>
          <c:orientation val="minMax"/>
        </c:scaling>
        <c:axPos val="b"/>
        <c:numFmt formatCode="General" sourceLinked="1"/>
        <c:tickLblPos val="nextTo"/>
        <c:crossAx val="154360448"/>
        <c:crosses val="autoZero"/>
        <c:auto val="1"/>
        <c:lblAlgn val="ctr"/>
        <c:lblOffset val="100"/>
      </c:catAx>
      <c:valAx>
        <c:axId val="154360448"/>
        <c:scaling>
          <c:orientation val="minMax"/>
        </c:scaling>
        <c:axPos val="l"/>
        <c:majorGridlines/>
        <c:numFmt formatCode="General" sourceLinked="1"/>
        <c:tickLblPos val="nextTo"/>
        <c:txPr>
          <a:bodyPr/>
          <a:lstStyle/>
          <a:p>
            <a:pPr>
              <a:defRPr sz="800"/>
            </a:pPr>
            <a:endParaRPr lang="en-US"/>
          </a:p>
        </c:txPr>
        <c:crossAx val="1543589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Cheshire East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10.880415524605608</c:v>
                </c:pt>
                <c:pt idx="1">
                  <c:v>10.931399850897202</c:v>
                </c:pt>
                <c:pt idx="2">
                  <c:v>11.347310621648701</c:v>
                </c:pt>
              </c:numCache>
            </c:numRef>
          </c:val>
        </c:ser>
        <c:marker val="1"/>
        <c:axId val="154379392"/>
        <c:axId val="154380928"/>
      </c:lineChart>
      <c:catAx>
        <c:axId val="154379392"/>
        <c:scaling>
          <c:orientation val="minMax"/>
        </c:scaling>
        <c:axPos val="b"/>
        <c:numFmt formatCode="General" sourceLinked="1"/>
        <c:tickLblPos val="nextTo"/>
        <c:crossAx val="154380928"/>
        <c:crosses val="autoZero"/>
        <c:auto val="1"/>
        <c:lblAlgn val="ctr"/>
        <c:lblOffset val="100"/>
      </c:catAx>
      <c:valAx>
        <c:axId val="1543809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437939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9.3402078909090971</c:v>
                </c:pt>
              </c:numCache>
            </c:numRef>
          </c:val>
        </c:ser>
        <c:ser>
          <c:idx val="3"/>
          <c:order val="3"/>
          <c:tx>
            <c:strRef>
              <c:f>Sheet1!$AL$383</c:f>
              <c:strCache>
                <c:ptCount val="1"/>
                <c:pt idx="0">
                  <c:v>Cheshire East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8.799873936337848</c:v>
                </c:pt>
                <c:pt idx="1">
                  <c:v>8.9300723599587908</c:v>
                </c:pt>
                <c:pt idx="2">
                  <c:v>8.9461030000000008</c:v>
                </c:pt>
              </c:numCache>
            </c:numRef>
          </c:val>
        </c:ser>
        <c:axId val="154248704"/>
        <c:axId val="154250240"/>
      </c:barChart>
      <c:catAx>
        <c:axId val="154248704"/>
        <c:scaling>
          <c:orientation val="minMax"/>
        </c:scaling>
        <c:axPos val="b"/>
        <c:numFmt formatCode="General" sourceLinked="1"/>
        <c:tickLblPos val="nextTo"/>
        <c:crossAx val="154250240"/>
        <c:crosses val="autoZero"/>
        <c:auto val="1"/>
        <c:lblAlgn val="ctr"/>
        <c:lblOffset val="100"/>
      </c:catAx>
      <c:valAx>
        <c:axId val="154250240"/>
        <c:scaling>
          <c:orientation val="minMax"/>
        </c:scaling>
        <c:axPos val="l"/>
        <c:majorGridlines/>
        <c:numFmt formatCode="General" sourceLinked="1"/>
        <c:tickLblPos val="nextTo"/>
        <c:crossAx val="15424870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Cheshire East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9.5084398468501998</c:v>
                </c:pt>
                <c:pt idx="1">
                  <c:v>9.4274282882959692</c:v>
                </c:pt>
                <c:pt idx="2">
                  <c:v>9.385634688612722</c:v>
                </c:pt>
              </c:numCache>
            </c:numRef>
          </c:val>
        </c:ser>
        <c:marker val="1"/>
        <c:axId val="154433024"/>
        <c:axId val="154434560"/>
      </c:lineChart>
      <c:catAx>
        <c:axId val="154433024"/>
        <c:scaling>
          <c:orientation val="minMax"/>
        </c:scaling>
        <c:axPos val="b"/>
        <c:numFmt formatCode="General" sourceLinked="1"/>
        <c:tickLblPos val="nextTo"/>
        <c:crossAx val="154434560"/>
        <c:crosses val="autoZero"/>
        <c:auto val="1"/>
        <c:lblAlgn val="ctr"/>
        <c:lblOffset val="100"/>
      </c:catAx>
      <c:valAx>
        <c:axId val="1544345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443302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8.7972515624407315</c:v>
                </c:pt>
                <c:pt idx="1">
                  <c:v>9.3364074747462151</c:v>
                </c:pt>
                <c:pt idx="2">
                  <c:v>9.369971181818169</c:v>
                </c:pt>
              </c:numCache>
            </c:numRef>
          </c:val>
        </c:ser>
        <c:ser>
          <c:idx val="3"/>
          <c:order val="3"/>
          <c:tx>
            <c:strRef>
              <c:f>Sheet1!$AW$383</c:f>
              <c:strCache>
                <c:ptCount val="1"/>
                <c:pt idx="0">
                  <c:v>Cheshire East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8.9644673501294676</c:v>
                </c:pt>
                <c:pt idx="1">
                  <c:v>9.4413530763650559</c:v>
                </c:pt>
                <c:pt idx="2">
                  <c:v>9.5079530000000005</c:v>
                </c:pt>
              </c:numCache>
            </c:numRef>
          </c:val>
        </c:ser>
        <c:axId val="154474368"/>
        <c:axId val="154475904"/>
      </c:barChart>
      <c:catAx>
        <c:axId val="154474368"/>
        <c:scaling>
          <c:orientation val="minMax"/>
        </c:scaling>
        <c:axPos val="b"/>
        <c:numFmt formatCode="General" sourceLinked="1"/>
        <c:tickLblPos val="nextTo"/>
        <c:crossAx val="154475904"/>
        <c:crosses val="autoZero"/>
        <c:auto val="1"/>
        <c:lblAlgn val="ctr"/>
        <c:lblOffset val="100"/>
      </c:catAx>
      <c:valAx>
        <c:axId val="154475904"/>
        <c:scaling>
          <c:orientation val="minMax"/>
        </c:scaling>
        <c:axPos val="l"/>
        <c:majorGridlines/>
        <c:numFmt formatCode="General" sourceLinked="1"/>
        <c:tickLblPos val="nextTo"/>
        <c:crossAx val="15447436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7.3271818378993041</c:v>
                </c:pt>
                <c:pt idx="1">
                  <c:v>7.2105854325630876</c:v>
                </c:pt>
                <c:pt idx="2">
                  <c:v>7.3187062232260915</c:v>
                </c:pt>
              </c:numCache>
            </c:numRef>
          </c:val>
        </c:ser>
        <c:ser>
          <c:idx val="3"/>
          <c:order val="3"/>
          <c:tx>
            <c:strRef>
              <c:f>Sheet1!$AA$383</c:f>
              <c:strCache>
                <c:ptCount val="1"/>
                <c:pt idx="0">
                  <c:v>Cheshire East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7.5469409482515895</c:v>
                </c:pt>
                <c:pt idx="1">
                  <c:v>7.4181524379848236</c:v>
                </c:pt>
                <c:pt idx="2">
                  <c:v>7.5149377703208762</c:v>
                </c:pt>
              </c:numCache>
            </c:numRef>
          </c:val>
        </c:ser>
        <c:marker val="1"/>
        <c:axId val="154507136"/>
        <c:axId val="154508672"/>
      </c:lineChart>
      <c:catAx>
        <c:axId val="154507136"/>
        <c:scaling>
          <c:orientation val="minMax"/>
        </c:scaling>
        <c:axPos val="b"/>
        <c:numFmt formatCode="General" sourceLinked="1"/>
        <c:tickLblPos val="nextTo"/>
        <c:crossAx val="154508672"/>
        <c:crosses val="autoZero"/>
        <c:auto val="1"/>
        <c:lblAlgn val="ctr"/>
        <c:lblOffset val="100"/>
      </c:catAx>
      <c:valAx>
        <c:axId val="1545086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450713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9.4418268167022958</c:v>
                </c:pt>
                <c:pt idx="1">
                  <c:v>9.9849070448179162</c:v>
                </c:pt>
                <c:pt idx="2">
                  <c:v>9.9881498363636414</c:v>
                </c:pt>
              </c:numCache>
            </c:numRef>
          </c:val>
        </c:ser>
        <c:ser>
          <c:idx val="3"/>
          <c:order val="3"/>
          <c:tx>
            <c:strRef>
              <c:f>Sheet1!$BH$383</c:f>
              <c:strCache>
                <c:ptCount val="1"/>
                <c:pt idx="0">
                  <c:v>Cheshire East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9.5424259839454209</c:v>
                </c:pt>
                <c:pt idx="1">
                  <c:v>10</c:v>
                </c:pt>
                <c:pt idx="2">
                  <c:v>10</c:v>
                </c:pt>
              </c:numCache>
            </c:numRef>
          </c:val>
        </c:ser>
        <c:axId val="154622208"/>
        <c:axId val="154636288"/>
      </c:barChart>
      <c:catAx>
        <c:axId val="154622208"/>
        <c:scaling>
          <c:orientation val="minMax"/>
        </c:scaling>
        <c:axPos val="b"/>
        <c:numFmt formatCode="General" sourceLinked="1"/>
        <c:tickLblPos val="nextTo"/>
        <c:crossAx val="154636288"/>
        <c:crosses val="autoZero"/>
        <c:auto val="1"/>
        <c:lblAlgn val="ctr"/>
        <c:lblOffset val="100"/>
      </c:catAx>
      <c:valAx>
        <c:axId val="154636288"/>
        <c:scaling>
          <c:orientation val="minMax"/>
        </c:scaling>
        <c:axPos val="l"/>
        <c:majorGridlines/>
        <c:numFmt formatCode="General" sourceLinked="1"/>
        <c:tickLblPos val="nextTo"/>
        <c:crossAx val="15462220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11.168875184756409</c:v>
                </c:pt>
              </c:numCache>
            </c:numRef>
          </c:val>
        </c:ser>
        <c:ser>
          <c:idx val="4"/>
          <c:order val="3"/>
          <c:tx>
            <c:strRef>
              <c:f>Sheet1!$AX$383</c:f>
              <c:strCache>
                <c:ptCount val="1"/>
                <c:pt idx="0">
                  <c:v>Cheshire East</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11.0832985518628</c:v>
                </c:pt>
                <c:pt idx="1">
                  <c:v>10.970089852740625</c:v>
                </c:pt>
                <c:pt idx="2">
                  <c:v>11.1888860884773</c:v>
                </c:pt>
              </c:numCache>
            </c:numRef>
          </c:val>
        </c:ser>
        <c:marker val="1"/>
        <c:axId val="152437888"/>
        <c:axId val="152439424"/>
      </c:lineChart>
      <c:catAx>
        <c:axId val="152437888"/>
        <c:scaling>
          <c:orientation val="minMax"/>
        </c:scaling>
        <c:axPos val="b"/>
        <c:numFmt formatCode="General" sourceLinked="1"/>
        <c:tickLblPos val="nextTo"/>
        <c:crossAx val="152439424"/>
        <c:crosses val="autoZero"/>
        <c:auto val="1"/>
        <c:lblAlgn val="ctr"/>
        <c:lblOffset val="100"/>
      </c:catAx>
      <c:valAx>
        <c:axId val="15243942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3788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20.799132716227113</c:v>
                </c:pt>
                <c:pt idx="1">
                  <c:v>21.118976983201243</c:v>
                </c:pt>
                <c:pt idx="2">
                  <c:v>21.402324319488233</c:v>
                </c:pt>
              </c:numCache>
            </c:numRef>
          </c:val>
        </c:ser>
        <c:ser>
          <c:idx val="3"/>
          <c:order val="3"/>
          <c:tx>
            <c:strRef>
              <c:f>Sheet1!$E$383</c:f>
              <c:strCache>
                <c:ptCount val="1"/>
                <c:pt idx="0">
                  <c:v>Cheshire East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21.134500257773499</c:v>
                </c:pt>
                <c:pt idx="1">
                  <c:v>21.453838653211101</c:v>
                </c:pt>
                <c:pt idx="2">
                  <c:v>22.282214491709489</c:v>
                </c:pt>
              </c:numCache>
            </c:numRef>
          </c:val>
        </c:ser>
        <c:marker val="1"/>
        <c:axId val="154536192"/>
        <c:axId val="154542080"/>
      </c:lineChart>
      <c:catAx>
        <c:axId val="154536192"/>
        <c:scaling>
          <c:orientation val="minMax"/>
        </c:scaling>
        <c:axPos val="b"/>
        <c:numFmt formatCode="General" sourceLinked="1"/>
        <c:tickLblPos val="nextTo"/>
        <c:crossAx val="154542080"/>
        <c:crosses val="autoZero"/>
        <c:auto val="1"/>
        <c:lblAlgn val="ctr"/>
        <c:lblOffset val="100"/>
      </c:catAx>
      <c:valAx>
        <c:axId val="154542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3619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1.8278658059401443</c:v>
                </c:pt>
                <c:pt idx="1">
                  <c:v>1.80049290569064</c:v>
                </c:pt>
                <c:pt idx="2">
                  <c:v>2.3694325999999997</c:v>
                </c:pt>
              </c:numCache>
            </c:numRef>
          </c:val>
        </c:ser>
        <c:ser>
          <c:idx val="3"/>
          <c:order val="3"/>
          <c:tx>
            <c:strRef>
              <c:f>Sheet1!$AL$383</c:f>
              <c:strCache>
                <c:ptCount val="1"/>
                <c:pt idx="0">
                  <c:v>Cheshire East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1.6472256724940191</c:v>
                </c:pt>
                <c:pt idx="1">
                  <c:v>1.68734645606891</c:v>
                </c:pt>
                <c:pt idx="2">
                  <c:v>2.191128</c:v>
                </c:pt>
              </c:numCache>
            </c:numRef>
          </c:val>
        </c:ser>
        <c:axId val="154598016"/>
        <c:axId val="154665344"/>
      </c:barChart>
      <c:catAx>
        <c:axId val="154598016"/>
        <c:scaling>
          <c:orientation val="minMax"/>
        </c:scaling>
        <c:axPos val="b"/>
        <c:numFmt formatCode="General" sourceLinked="1"/>
        <c:tickLblPos val="nextTo"/>
        <c:crossAx val="154665344"/>
        <c:crosses val="autoZero"/>
        <c:auto val="1"/>
        <c:lblAlgn val="ctr"/>
        <c:lblOffset val="100"/>
      </c:catAx>
      <c:valAx>
        <c:axId val="154665344"/>
        <c:scaling>
          <c:orientation val="minMax"/>
        </c:scaling>
        <c:axPos val="l"/>
        <c:majorGridlines/>
        <c:numFmt formatCode="General" sourceLinked="1"/>
        <c:tickLblPos val="nextTo"/>
        <c:txPr>
          <a:bodyPr/>
          <a:lstStyle/>
          <a:p>
            <a:pPr>
              <a:defRPr sz="800"/>
            </a:pPr>
            <a:endParaRPr lang="en-US"/>
          </a:p>
        </c:txPr>
        <c:crossAx val="15459801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17.872489775711781</c:v>
                </c:pt>
                <c:pt idx="2">
                  <c:v>17.925058875106533</c:v>
                </c:pt>
              </c:numCache>
            </c:numRef>
          </c:val>
        </c:ser>
        <c:ser>
          <c:idx val="3"/>
          <c:order val="3"/>
          <c:tx>
            <c:strRef>
              <c:f>Sheet1!$P$383</c:f>
              <c:strCache>
                <c:ptCount val="1"/>
                <c:pt idx="0">
                  <c:v>Cheshire East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17.3350321297963</c:v>
                </c:pt>
                <c:pt idx="1">
                  <c:v>17.3342459881937</c:v>
                </c:pt>
                <c:pt idx="2">
                  <c:v>17.233095808074498</c:v>
                </c:pt>
              </c:numCache>
            </c:numRef>
          </c:val>
        </c:ser>
        <c:marker val="1"/>
        <c:axId val="154688128"/>
        <c:axId val="154706304"/>
      </c:lineChart>
      <c:catAx>
        <c:axId val="154688128"/>
        <c:scaling>
          <c:orientation val="minMax"/>
        </c:scaling>
        <c:axPos val="b"/>
        <c:numFmt formatCode="General" sourceLinked="1"/>
        <c:tickLblPos val="nextTo"/>
        <c:crossAx val="154706304"/>
        <c:crosses val="autoZero"/>
        <c:auto val="1"/>
        <c:lblAlgn val="ctr"/>
        <c:lblOffset val="100"/>
      </c:catAx>
      <c:valAx>
        <c:axId val="154706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8812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2.3981068729433774</c:v>
                </c:pt>
                <c:pt idx="1">
                  <c:v>2.3935261834007737</c:v>
                </c:pt>
                <c:pt idx="2">
                  <c:v>2.3782573454545437</c:v>
                </c:pt>
              </c:numCache>
            </c:numRef>
          </c:val>
        </c:ser>
        <c:ser>
          <c:idx val="3"/>
          <c:order val="3"/>
          <c:tx>
            <c:strRef>
              <c:f>Sheet1!$AW$383</c:f>
              <c:strCache>
                <c:ptCount val="1"/>
                <c:pt idx="0">
                  <c:v>Cheshire East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1.61147673692862</c:v>
                </c:pt>
                <c:pt idx="1">
                  <c:v>1.6051657817253</c:v>
                </c:pt>
                <c:pt idx="2">
                  <c:v>1.607947</c:v>
                </c:pt>
              </c:numCache>
            </c:numRef>
          </c:val>
        </c:ser>
        <c:axId val="154729472"/>
        <c:axId val="154735360"/>
      </c:barChart>
      <c:catAx>
        <c:axId val="154729472"/>
        <c:scaling>
          <c:orientation val="minMax"/>
        </c:scaling>
        <c:axPos val="b"/>
        <c:numFmt formatCode="General" sourceLinked="1"/>
        <c:tickLblPos val="nextTo"/>
        <c:crossAx val="154735360"/>
        <c:crosses val="autoZero"/>
        <c:auto val="1"/>
        <c:lblAlgn val="ctr"/>
        <c:lblOffset val="100"/>
      </c:catAx>
      <c:valAx>
        <c:axId val="154735360"/>
        <c:scaling>
          <c:orientation val="minMax"/>
        </c:scaling>
        <c:axPos val="l"/>
        <c:majorGridlines/>
        <c:numFmt formatCode="General" sourceLinked="1"/>
        <c:tickLblPos val="nextTo"/>
        <c:txPr>
          <a:bodyPr/>
          <a:lstStyle/>
          <a:p>
            <a:pPr>
              <a:defRPr sz="800"/>
            </a:pPr>
            <a:endParaRPr lang="en-US"/>
          </a:p>
        </c:txPr>
        <c:crossAx val="15472947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11.959363236361208</c:v>
                </c:pt>
                <c:pt idx="2">
                  <c:v>12.367735116236094</c:v>
                </c:pt>
              </c:numCache>
            </c:numRef>
          </c:val>
        </c:ser>
        <c:ser>
          <c:idx val="3"/>
          <c:order val="3"/>
          <c:tx>
            <c:strRef>
              <c:f>Sheet1!$AA$383</c:f>
              <c:strCache>
                <c:ptCount val="1"/>
                <c:pt idx="0">
                  <c:v>Cheshire East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11.471210441446001</c:v>
                </c:pt>
                <c:pt idx="1">
                  <c:v>11.311974768051201</c:v>
                </c:pt>
                <c:pt idx="2">
                  <c:v>11.767325853391498</c:v>
                </c:pt>
              </c:numCache>
            </c:numRef>
          </c:val>
        </c:ser>
        <c:marker val="1"/>
        <c:axId val="154770432"/>
        <c:axId val="154784512"/>
      </c:lineChart>
      <c:catAx>
        <c:axId val="154770432"/>
        <c:scaling>
          <c:orientation val="minMax"/>
        </c:scaling>
        <c:axPos val="b"/>
        <c:numFmt formatCode="General" sourceLinked="1"/>
        <c:tickLblPos val="nextTo"/>
        <c:crossAx val="154784512"/>
        <c:crosses val="autoZero"/>
        <c:auto val="1"/>
        <c:lblAlgn val="ctr"/>
        <c:lblOffset val="100"/>
      </c:catAx>
      <c:valAx>
        <c:axId val="154784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7043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7.1009140103222679</c:v>
                </c:pt>
                <c:pt idx="2">
                  <c:v>6.7876170909090927</c:v>
                </c:pt>
              </c:numCache>
            </c:numRef>
          </c:val>
        </c:ser>
        <c:ser>
          <c:idx val="3"/>
          <c:order val="3"/>
          <c:tx>
            <c:strRef>
              <c:f>Sheet1!$BH$383</c:f>
              <c:strCache>
                <c:ptCount val="1"/>
                <c:pt idx="0">
                  <c:v>Cheshire East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8.0103940725360392</c:v>
                </c:pt>
                <c:pt idx="1">
                  <c:v>8.2309666485817559</c:v>
                </c:pt>
                <c:pt idx="2">
                  <c:v>7.2778119999999964</c:v>
                </c:pt>
              </c:numCache>
            </c:numRef>
          </c:val>
        </c:ser>
        <c:axId val="154819968"/>
        <c:axId val="154829952"/>
      </c:barChart>
      <c:catAx>
        <c:axId val="154819968"/>
        <c:scaling>
          <c:orientation val="minMax"/>
        </c:scaling>
        <c:axPos val="b"/>
        <c:numFmt formatCode="General" sourceLinked="1"/>
        <c:tickLblPos val="nextTo"/>
        <c:crossAx val="154829952"/>
        <c:crosses val="autoZero"/>
        <c:auto val="1"/>
        <c:lblAlgn val="ctr"/>
        <c:lblOffset val="100"/>
      </c:catAx>
      <c:valAx>
        <c:axId val="154829952"/>
        <c:scaling>
          <c:orientation val="minMax"/>
        </c:scaling>
        <c:axPos val="l"/>
        <c:majorGridlines/>
        <c:numFmt formatCode="General" sourceLinked="1"/>
        <c:tickLblPos val="nextTo"/>
        <c:txPr>
          <a:bodyPr/>
          <a:lstStyle/>
          <a:p>
            <a:pPr>
              <a:defRPr sz="800"/>
            </a:pPr>
            <a:endParaRPr lang="en-US"/>
          </a:p>
        </c:txPr>
        <c:crossAx val="15481996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Cheshire East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2738</c:v>
                </c:pt>
                <c:pt idx="1">
                  <c:v>2747</c:v>
                </c:pt>
                <c:pt idx="2">
                  <c:v>2859</c:v>
                </c:pt>
                <c:pt idx="3">
                  <c:v>2864</c:v>
                </c:pt>
                <c:pt idx="4">
                  <c:v>2880</c:v>
                </c:pt>
              </c:numCache>
            </c:numRef>
          </c:val>
        </c:ser>
        <c:marker val="1"/>
        <c:axId val="154862720"/>
        <c:axId val="154864256"/>
      </c:lineChart>
      <c:catAx>
        <c:axId val="154862720"/>
        <c:scaling>
          <c:orientation val="minMax"/>
        </c:scaling>
        <c:axPos val="b"/>
        <c:numFmt formatCode="General" sourceLinked="1"/>
        <c:tickLblPos val="nextTo"/>
        <c:crossAx val="154864256"/>
        <c:crosses val="autoZero"/>
        <c:auto val="1"/>
        <c:lblAlgn val="ctr"/>
        <c:lblOffset val="100"/>
      </c:catAx>
      <c:valAx>
        <c:axId val="15486425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6272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Cheshire East</c:v>
                </c:pt>
              </c:strCache>
            </c:strRef>
          </c:tx>
          <c:spPr>
            <a:solidFill>
              <a:schemeClr val="tx1"/>
            </a:solidFill>
          </c:spPr>
          <c:val>
            <c:numRef>
              <c:f>Sheet1!$R$180:$V$180</c:f>
              <c:numCache>
                <c:formatCode>General</c:formatCode>
                <c:ptCount val="5"/>
                <c:pt idx="0">
                  <c:v>7352.6449918497919</c:v>
                </c:pt>
                <c:pt idx="1">
                  <c:v>7364.492796362525</c:v>
                </c:pt>
                <c:pt idx="2">
                  <c:v>7632.0187076555103</c:v>
                </c:pt>
                <c:pt idx="3">
                  <c:v>7622.6571773811493</c:v>
                </c:pt>
                <c:pt idx="4">
                  <c:v>7633.1224506563722</c:v>
                </c:pt>
              </c:numCache>
            </c:numRef>
          </c:val>
        </c:ser>
        <c:axId val="154900352"/>
        <c:axId val="15490188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54900352"/>
        <c:axId val="154901888"/>
      </c:lineChart>
      <c:catAx>
        <c:axId val="154900352"/>
        <c:scaling>
          <c:orientation val="minMax"/>
        </c:scaling>
        <c:axPos val="b"/>
        <c:tickLblPos val="nextTo"/>
        <c:crossAx val="154901888"/>
        <c:crosses val="autoZero"/>
        <c:auto val="1"/>
        <c:lblAlgn val="ctr"/>
        <c:lblOffset val="100"/>
      </c:catAx>
      <c:valAx>
        <c:axId val="15490188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003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Cheshire East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2173</c:v>
                </c:pt>
                <c:pt idx="1">
                  <c:v>2167</c:v>
                </c:pt>
                <c:pt idx="2">
                  <c:v>2253</c:v>
                </c:pt>
                <c:pt idx="3">
                  <c:v>2223</c:v>
                </c:pt>
                <c:pt idx="4">
                  <c:v>2237</c:v>
                </c:pt>
              </c:numCache>
            </c:numRef>
          </c:val>
        </c:ser>
        <c:marker val="1"/>
        <c:axId val="154935296"/>
        <c:axId val="154936832"/>
      </c:lineChart>
      <c:catAx>
        <c:axId val="154935296"/>
        <c:scaling>
          <c:orientation val="minMax"/>
        </c:scaling>
        <c:axPos val="b"/>
        <c:numFmt formatCode="General" sourceLinked="1"/>
        <c:tickLblPos val="nextTo"/>
        <c:crossAx val="154936832"/>
        <c:crosses val="autoZero"/>
        <c:auto val="1"/>
        <c:lblAlgn val="ctr"/>
        <c:lblOffset val="100"/>
      </c:catAx>
      <c:valAx>
        <c:axId val="15493683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3529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Cheshire East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5835.3899077025535</c:v>
                </c:pt>
                <c:pt idx="1">
                  <c:v>5809.55802319534</c:v>
                </c:pt>
                <c:pt idx="2">
                  <c:v>6014.3190445428027</c:v>
                </c:pt>
                <c:pt idx="3">
                  <c:v>5916.6085563262195</c:v>
                </c:pt>
                <c:pt idx="4">
                  <c:v>5928.9218479577421</c:v>
                </c:pt>
              </c:numCache>
            </c:numRef>
          </c:val>
        </c:ser>
        <c:axId val="154981120"/>
        <c:axId val="15498265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54981120"/>
        <c:axId val="154982656"/>
      </c:lineChart>
      <c:catAx>
        <c:axId val="154981120"/>
        <c:scaling>
          <c:orientation val="minMax"/>
        </c:scaling>
        <c:axPos val="b"/>
        <c:numFmt formatCode="General" sourceLinked="1"/>
        <c:tickLblPos val="nextTo"/>
        <c:crossAx val="154982656"/>
        <c:crosses val="autoZero"/>
        <c:auto val="1"/>
        <c:lblAlgn val="ctr"/>
        <c:lblOffset val="100"/>
      </c:catAx>
      <c:valAx>
        <c:axId val="15498265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811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8.6900868934172077</c:v>
                </c:pt>
              </c:numCache>
            </c:numRef>
          </c:val>
        </c:ser>
        <c:ser>
          <c:idx val="4"/>
          <c:order val="3"/>
          <c:tx>
            <c:strRef>
              <c:f>Sheet1!$BI$383</c:f>
              <c:strCache>
                <c:ptCount val="1"/>
                <c:pt idx="0">
                  <c:v>Cheshire East</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8.5084071284602203</c:v>
                </c:pt>
                <c:pt idx="1">
                  <c:v>8.3548440563464528</c:v>
                </c:pt>
                <c:pt idx="2">
                  <c:v>8.6624237103637807</c:v>
                </c:pt>
              </c:numCache>
            </c:numRef>
          </c:val>
        </c:ser>
        <c:marker val="1"/>
        <c:axId val="152475136"/>
        <c:axId val="152476672"/>
      </c:lineChart>
      <c:catAx>
        <c:axId val="152475136"/>
        <c:scaling>
          <c:orientation val="minMax"/>
        </c:scaling>
        <c:axPos val="b"/>
        <c:numFmt formatCode="General" sourceLinked="1"/>
        <c:tickLblPos val="nextTo"/>
        <c:crossAx val="152476672"/>
        <c:crosses val="autoZero"/>
        <c:auto val="1"/>
        <c:lblAlgn val="ctr"/>
        <c:lblOffset val="100"/>
      </c:catAx>
      <c:valAx>
        <c:axId val="15247667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7513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Cheshire East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1574</c:v>
                </c:pt>
                <c:pt idx="1">
                  <c:v>1563</c:v>
                </c:pt>
                <c:pt idx="2">
                  <c:v>1614</c:v>
                </c:pt>
                <c:pt idx="3">
                  <c:v>1617</c:v>
                </c:pt>
                <c:pt idx="4">
                  <c:v>1667</c:v>
                </c:pt>
              </c:numCache>
            </c:numRef>
          </c:val>
        </c:ser>
        <c:marker val="1"/>
        <c:axId val="155015808"/>
        <c:axId val="155021696"/>
      </c:lineChart>
      <c:catAx>
        <c:axId val="155015808"/>
        <c:scaling>
          <c:orientation val="minMax"/>
        </c:scaling>
        <c:axPos val="b"/>
        <c:numFmt formatCode="General" sourceLinked="1"/>
        <c:tickLblPos val="nextTo"/>
        <c:crossAx val="155021696"/>
        <c:crosses val="autoZero"/>
        <c:auto val="1"/>
        <c:lblAlgn val="ctr"/>
        <c:lblOffset val="100"/>
      </c:catAx>
      <c:valAx>
        <c:axId val="15502169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1580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Cheshire East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4226.8309777836257</c:v>
                </c:pt>
                <c:pt idx="1">
                  <c:v>4190.2811214833064</c:v>
                </c:pt>
                <c:pt idx="2">
                  <c:v>4308.5268255180135</c:v>
                </c:pt>
                <c:pt idx="3">
                  <c:v>4303.7139161401219</c:v>
                </c:pt>
                <c:pt idx="4">
                  <c:v>4418.199696265342</c:v>
                </c:pt>
              </c:numCache>
            </c:numRef>
          </c:val>
        </c:ser>
        <c:axId val="155061632"/>
        <c:axId val="15507980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55061632"/>
        <c:axId val="155079808"/>
      </c:lineChart>
      <c:catAx>
        <c:axId val="155061632"/>
        <c:scaling>
          <c:orientation val="minMax"/>
        </c:scaling>
        <c:axPos val="b"/>
        <c:numFmt formatCode="General" sourceLinked="1"/>
        <c:tickLblPos val="nextTo"/>
        <c:crossAx val="155079808"/>
        <c:crosses val="autoZero"/>
        <c:auto val="1"/>
        <c:lblAlgn val="ctr"/>
        <c:lblOffset val="100"/>
      </c:catAx>
      <c:valAx>
        <c:axId val="15507980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616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Cheshire East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4217</c:v>
                </c:pt>
                <c:pt idx="1">
                  <c:v>4243</c:v>
                </c:pt>
                <c:pt idx="2">
                  <c:v>4411</c:v>
                </c:pt>
                <c:pt idx="3">
                  <c:v>4427</c:v>
                </c:pt>
                <c:pt idx="4">
                  <c:v>4419</c:v>
                </c:pt>
              </c:numCache>
            </c:numRef>
          </c:val>
        </c:ser>
        <c:marker val="1"/>
        <c:axId val="155111424"/>
        <c:axId val="155112960"/>
      </c:lineChart>
      <c:catAx>
        <c:axId val="155111424"/>
        <c:scaling>
          <c:orientation val="minMax"/>
        </c:scaling>
        <c:axPos val="b"/>
        <c:numFmt formatCode="General" sourceLinked="1"/>
        <c:tickLblPos val="nextTo"/>
        <c:crossAx val="155112960"/>
        <c:crosses val="autoZero"/>
        <c:auto val="1"/>
        <c:lblAlgn val="ctr"/>
        <c:lblOffset val="100"/>
      </c:catAx>
      <c:valAx>
        <c:axId val="15511296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1142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Cheshire East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3</c:v>
                </c:pt>
                <c:pt idx="3">
                  <c:v>3</c:v>
                </c:pt>
                <c:pt idx="4">
                  <c:v>2</c:v>
                </c:pt>
              </c:numCache>
            </c:numRef>
          </c:val>
        </c:ser>
        <c:axId val="155251456"/>
        <c:axId val="15525299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55251456"/>
        <c:axId val="155252992"/>
      </c:lineChart>
      <c:catAx>
        <c:axId val="155251456"/>
        <c:scaling>
          <c:orientation val="minMax"/>
        </c:scaling>
        <c:axPos val="b"/>
        <c:tickLblPos val="nextTo"/>
        <c:crossAx val="155252992"/>
        <c:crosses val="autoZero"/>
        <c:auto val="1"/>
        <c:lblAlgn val="ctr"/>
        <c:lblOffset val="100"/>
      </c:catAx>
      <c:valAx>
        <c:axId val="1552529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2514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Cheshire East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7</c:v>
                </c:pt>
                <c:pt idx="2">
                  <c:v>5</c:v>
                </c:pt>
                <c:pt idx="3">
                  <c:v>5</c:v>
                </c:pt>
                <c:pt idx="4">
                  <c:v>4</c:v>
                </c:pt>
              </c:numCache>
            </c:numRef>
          </c:val>
        </c:ser>
        <c:axId val="155293184"/>
        <c:axId val="15529472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55293184"/>
        <c:axId val="155294720"/>
      </c:lineChart>
      <c:catAx>
        <c:axId val="155293184"/>
        <c:scaling>
          <c:orientation val="minMax"/>
        </c:scaling>
        <c:axPos val="b"/>
        <c:tickLblPos val="nextTo"/>
        <c:crossAx val="155294720"/>
        <c:crosses val="autoZero"/>
        <c:auto val="1"/>
        <c:lblAlgn val="ctr"/>
        <c:lblOffset val="100"/>
      </c:catAx>
      <c:valAx>
        <c:axId val="1552947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2931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Cheshire East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8</c:v>
                </c:pt>
                <c:pt idx="1">
                  <c:v>8</c:v>
                </c:pt>
                <c:pt idx="2">
                  <c:v>8</c:v>
                </c:pt>
                <c:pt idx="3">
                  <c:v>8</c:v>
                </c:pt>
                <c:pt idx="4">
                  <c:v>9</c:v>
                </c:pt>
              </c:numCache>
            </c:numRef>
          </c:val>
        </c:ser>
        <c:axId val="155397120"/>
        <c:axId val="15539891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55397120"/>
        <c:axId val="155398912"/>
      </c:lineChart>
      <c:catAx>
        <c:axId val="155397120"/>
        <c:scaling>
          <c:orientation val="minMax"/>
        </c:scaling>
        <c:axPos val="b"/>
        <c:tickLblPos val="nextTo"/>
        <c:crossAx val="155398912"/>
        <c:crosses val="autoZero"/>
        <c:auto val="1"/>
        <c:lblAlgn val="ctr"/>
        <c:lblOffset val="100"/>
      </c:catAx>
      <c:valAx>
        <c:axId val="1553989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3971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Cheshire East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29.8</c:v>
                </c:pt>
                <c:pt idx="1">
                  <c:v>29.1</c:v>
                </c:pt>
                <c:pt idx="2">
                  <c:v>28.3</c:v>
                </c:pt>
              </c:numCache>
            </c:numRef>
          </c:val>
        </c:ser>
        <c:marker val="1"/>
        <c:axId val="155323392"/>
        <c:axId val="155329280"/>
      </c:lineChart>
      <c:catAx>
        <c:axId val="155323392"/>
        <c:scaling>
          <c:orientation val="minMax"/>
        </c:scaling>
        <c:axPos val="b"/>
        <c:numFmt formatCode="General" sourceLinked="1"/>
        <c:tickLblPos val="nextTo"/>
        <c:crossAx val="155329280"/>
        <c:crosses val="autoZero"/>
        <c:auto val="1"/>
        <c:lblAlgn val="ctr"/>
        <c:lblOffset val="100"/>
      </c:catAx>
      <c:valAx>
        <c:axId val="15532928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2339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Cheshire East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31.3</c:v>
                </c:pt>
                <c:pt idx="1">
                  <c:v>33.300000000000011</c:v>
                </c:pt>
                <c:pt idx="2">
                  <c:v>36.4</c:v>
                </c:pt>
              </c:numCache>
            </c:numRef>
          </c:val>
        </c:ser>
        <c:marker val="1"/>
        <c:axId val="155340160"/>
        <c:axId val="155350144"/>
      </c:lineChart>
      <c:catAx>
        <c:axId val="155340160"/>
        <c:scaling>
          <c:orientation val="minMax"/>
        </c:scaling>
        <c:axPos val="b"/>
        <c:numFmt formatCode="General" sourceLinked="1"/>
        <c:tickLblPos val="nextTo"/>
        <c:crossAx val="155350144"/>
        <c:crosses val="autoZero"/>
        <c:auto val="1"/>
        <c:lblAlgn val="ctr"/>
        <c:lblOffset val="100"/>
      </c:catAx>
      <c:valAx>
        <c:axId val="15535014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534016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Cheshire East</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78.77044480612156</c:v>
                </c:pt>
                <c:pt idx="1">
                  <c:v>68.340080138634463</c:v>
                </c:pt>
                <c:pt idx="2">
                  <c:v>38.126055171566868</c:v>
                </c:pt>
                <c:pt idx="3">
                  <c:v>25.880157961668754</c:v>
                </c:pt>
              </c:numCache>
            </c:numRef>
          </c:val>
        </c:ser>
        <c:axId val="155537408"/>
        <c:axId val="155538944"/>
      </c:barChart>
      <c:catAx>
        <c:axId val="155537408"/>
        <c:scaling>
          <c:orientation val="minMax"/>
        </c:scaling>
        <c:axPos val="b"/>
        <c:tickLblPos val="nextTo"/>
        <c:txPr>
          <a:bodyPr/>
          <a:lstStyle/>
          <a:p>
            <a:pPr>
              <a:defRPr sz="800"/>
            </a:pPr>
            <a:endParaRPr lang="en-US"/>
          </a:p>
        </c:txPr>
        <c:crossAx val="155538944"/>
        <c:crosses val="autoZero"/>
        <c:auto val="1"/>
        <c:lblAlgn val="ctr"/>
        <c:lblOffset val="100"/>
      </c:catAx>
      <c:valAx>
        <c:axId val="15553894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53740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Cheshire East</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17.115251092246201</c:v>
                </c:pt>
                <c:pt idx="1">
                  <c:v>9.7482799138013636</c:v>
                </c:pt>
                <c:pt idx="2">
                  <c:v>3.9195539344999433</c:v>
                </c:pt>
                <c:pt idx="3">
                  <c:v>1.5258910214031656</c:v>
                </c:pt>
              </c:numCache>
            </c:numRef>
          </c:val>
        </c:ser>
        <c:axId val="155579520"/>
        <c:axId val="155581056"/>
      </c:barChart>
      <c:catAx>
        <c:axId val="155579520"/>
        <c:scaling>
          <c:orientation val="minMax"/>
        </c:scaling>
        <c:axPos val="b"/>
        <c:numFmt formatCode="General" sourceLinked="1"/>
        <c:tickLblPos val="nextTo"/>
        <c:txPr>
          <a:bodyPr/>
          <a:lstStyle/>
          <a:p>
            <a:pPr>
              <a:defRPr sz="800"/>
            </a:pPr>
            <a:endParaRPr lang="en-US"/>
          </a:p>
        </c:txPr>
        <c:crossAx val="155581056"/>
        <c:crosses val="autoZero"/>
        <c:auto val="1"/>
        <c:lblAlgn val="ctr"/>
        <c:lblOffset val="100"/>
      </c:catAx>
      <c:valAx>
        <c:axId val="1555810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57952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31.163416110137348</c:v>
                </c:pt>
              </c:numCache>
            </c:numRef>
          </c:val>
        </c:ser>
        <c:ser>
          <c:idx val="4"/>
          <c:order val="3"/>
          <c:tx>
            <c:strRef>
              <c:f>Sheet1!$BT$383</c:f>
              <c:strCache>
                <c:ptCount val="1"/>
                <c:pt idx="0">
                  <c:v>Cheshire East</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33.156829885148333</c:v>
                </c:pt>
                <c:pt idx="1">
                  <c:v>33.794063540079875</c:v>
                </c:pt>
                <c:pt idx="2">
                  <c:v>33.936638213403199</c:v>
                </c:pt>
              </c:numCache>
            </c:numRef>
          </c:val>
        </c:ser>
        <c:marker val="1"/>
        <c:axId val="152524672"/>
        <c:axId val="152526208"/>
      </c:lineChart>
      <c:catAx>
        <c:axId val="152524672"/>
        <c:scaling>
          <c:orientation val="minMax"/>
        </c:scaling>
        <c:axPos val="b"/>
        <c:numFmt formatCode="General" sourceLinked="1"/>
        <c:tickLblPos val="nextTo"/>
        <c:crossAx val="152526208"/>
        <c:crosses val="autoZero"/>
        <c:auto val="1"/>
        <c:lblAlgn val="ctr"/>
        <c:lblOffset val="100"/>
      </c:catAx>
      <c:valAx>
        <c:axId val="15252620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2467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Cheshire East</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15.868123269718943</c:v>
                </c:pt>
                <c:pt idx="1">
                  <c:v>7.6761960486340124</c:v>
                </c:pt>
                <c:pt idx="2">
                  <c:v>1.0501098032671832</c:v>
                </c:pt>
                <c:pt idx="3">
                  <c:v>0.21253209263587144</c:v>
                </c:pt>
              </c:numCache>
            </c:numRef>
          </c:val>
        </c:ser>
        <c:axId val="155493888"/>
        <c:axId val="155495424"/>
      </c:barChart>
      <c:catAx>
        <c:axId val="155493888"/>
        <c:scaling>
          <c:orientation val="minMax"/>
        </c:scaling>
        <c:axPos val="b"/>
        <c:numFmt formatCode="General" sourceLinked="1"/>
        <c:tickLblPos val="nextTo"/>
        <c:txPr>
          <a:bodyPr/>
          <a:lstStyle/>
          <a:p>
            <a:pPr>
              <a:defRPr sz="800"/>
            </a:pPr>
            <a:endParaRPr lang="en-US"/>
          </a:p>
        </c:txPr>
        <c:crossAx val="155495424"/>
        <c:crosses val="autoZero"/>
        <c:auto val="1"/>
        <c:lblAlgn val="ctr"/>
        <c:lblOffset val="100"/>
      </c:catAx>
      <c:valAx>
        <c:axId val="1554954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49388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Cheshire East</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7.4184133172067899</c:v>
                </c:pt>
                <c:pt idx="1">
                  <c:v>4.0522066335562519</c:v>
                </c:pt>
                <c:pt idx="2">
                  <c:v>1.798190029058832</c:v>
                </c:pt>
                <c:pt idx="3">
                  <c:v>0.91978404546242643</c:v>
                </c:pt>
              </c:numCache>
            </c:numRef>
          </c:val>
        </c:ser>
        <c:axId val="155608960"/>
        <c:axId val="155610496"/>
      </c:barChart>
      <c:catAx>
        <c:axId val="155608960"/>
        <c:scaling>
          <c:orientation val="minMax"/>
        </c:scaling>
        <c:axPos val="b"/>
        <c:numFmt formatCode="General" sourceLinked="1"/>
        <c:tickLblPos val="nextTo"/>
        <c:txPr>
          <a:bodyPr/>
          <a:lstStyle/>
          <a:p>
            <a:pPr>
              <a:defRPr sz="800"/>
            </a:pPr>
            <a:endParaRPr lang="en-US"/>
          </a:p>
        </c:txPr>
        <c:crossAx val="155610496"/>
        <c:crosses val="autoZero"/>
        <c:auto val="1"/>
        <c:lblAlgn val="ctr"/>
        <c:lblOffset val="100"/>
      </c:catAx>
      <c:valAx>
        <c:axId val="15561049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60896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Cheshire East</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77.957358959401176</c:v>
                </c:pt>
                <c:pt idx="1">
                  <c:v>66.359482562408786</c:v>
                </c:pt>
                <c:pt idx="2">
                  <c:v>34.062588809309638</c:v>
                </c:pt>
                <c:pt idx="3">
                  <c:v>23.909857712682065</c:v>
                </c:pt>
              </c:numCache>
            </c:numRef>
          </c:val>
        </c:ser>
        <c:axId val="155728128"/>
        <c:axId val="155738112"/>
      </c:barChart>
      <c:catAx>
        <c:axId val="155728128"/>
        <c:scaling>
          <c:orientation val="minMax"/>
        </c:scaling>
        <c:axPos val="b"/>
        <c:numFmt formatCode="General" sourceLinked="1"/>
        <c:tickLblPos val="nextTo"/>
        <c:txPr>
          <a:bodyPr/>
          <a:lstStyle/>
          <a:p>
            <a:pPr>
              <a:defRPr sz="800"/>
            </a:pPr>
            <a:endParaRPr lang="en-US"/>
          </a:p>
        </c:txPr>
        <c:crossAx val="155738112"/>
        <c:crosses val="autoZero"/>
        <c:auto val="1"/>
        <c:lblAlgn val="ctr"/>
        <c:lblOffset val="100"/>
      </c:catAx>
      <c:valAx>
        <c:axId val="1557381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72812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Cheshire East</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64.967410780721636</c:v>
                </c:pt>
                <c:pt idx="1">
                  <c:v>52.262233965685532</c:v>
                </c:pt>
                <c:pt idx="2">
                  <c:v>20.97513873660337</c:v>
                </c:pt>
                <c:pt idx="3">
                  <c:v>15.139004946003817</c:v>
                </c:pt>
              </c:numCache>
            </c:numRef>
          </c:val>
        </c:ser>
        <c:axId val="155761280"/>
        <c:axId val="155652480"/>
      </c:barChart>
      <c:catAx>
        <c:axId val="155761280"/>
        <c:scaling>
          <c:orientation val="minMax"/>
        </c:scaling>
        <c:axPos val="b"/>
        <c:numFmt formatCode="General" sourceLinked="1"/>
        <c:tickLblPos val="nextTo"/>
        <c:txPr>
          <a:bodyPr/>
          <a:lstStyle/>
          <a:p>
            <a:pPr>
              <a:defRPr sz="800"/>
            </a:pPr>
            <a:endParaRPr lang="en-US"/>
          </a:p>
        </c:txPr>
        <c:crossAx val="155652480"/>
        <c:crosses val="autoZero"/>
        <c:auto val="1"/>
        <c:lblAlgn val="ctr"/>
        <c:lblOffset val="100"/>
      </c:catAx>
      <c:valAx>
        <c:axId val="1556524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76128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Cheshire East</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44.81986405401414</c:v>
                </c:pt>
                <c:pt idx="1">
                  <c:v>35.001020963262256</c:v>
                </c:pt>
                <c:pt idx="2">
                  <c:v>12.456812297600699</c:v>
                </c:pt>
                <c:pt idx="3">
                  <c:v>9.0131239529929168</c:v>
                </c:pt>
              </c:numCache>
            </c:numRef>
          </c:val>
        </c:ser>
        <c:axId val="155782144"/>
        <c:axId val="155783936"/>
      </c:barChart>
      <c:catAx>
        <c:axId val="155782144"/>
        <c:scaling>
          <c:orientation val="minMax"/>
        </c:scaling>
        <c:axPos val="b"/>
        <c:numFmt formatCode="General" sourceLinked="1"/>
        <c:tickLblPos val="nextTo"/>
        <c:txPr>
          <a:bodyPr/>
          <a:lstStyle/>
          <a:p>
            <a:pPr>
              <a:defRPr sz="800"/>
            </a:pPr>
            <a:endParaRPr lang="en-US"/>
          </a:p>
        </c:txPr>
        <c:crossAx val="155783936"/>
        <c:crosses val="autoZero"/>
        <c:auto val="1"/>
        <c:lblAlgn val="ctr"/>
        <c:lblOffset val="100"/>
      </c:catAx>
      <c:valAx>
        <c:axId val="1557839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78214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30.042038872960518</c:v>
                </c:pt>
                <c:pt idx="2">
                  <c:v>30.751995828628235</c:v>
                </c:pt>
              </c:numCache>
            </c:numRef>
          </c:val>
        </c:ser>
        <c:ser>
          <c:idx val="4"/>
          <c:order val="3"/>
          <c:tx>
            <c:strRef>
              <c:f>Sheet1!$CE$383</c:f>
              <c:strCache>
                <c:ptCount val="1"/>
                <c:pt idx="0">
                  <c:v>Cheshire East</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28.786187943880886</c:v>
                </c:pt>
                <c:pt idx="1">
                  <c:v>28.704440090546488</c:v>
                </c:pt>
                <c:pt idx="2">
                  <c:v>28.595656701305586</c:v>
                </c:pt>
              </c:numCache>
            </c:numRef>
          </c:val>
        </c:ser>
        <c:marker val="1"/>
        <c:axId val="152647936"/>
        <c:axId val="152657920"/>
      </c:lineChart>
      <c:catAx>
        <c:axId val="152647936"/>
        <c:scaling>
          <c:orientation val="minMax"/>
        </c:scaling>
        <c:axPos val="b"/>
        <c:numFmt formatCode="General" sourceLinked="1"/>
        <c:tickLblPos val="nextTo"/>
        <c:crossAx val="152657920"/>
        <c:crosses val="autoZero"/>
        <c:auto val="1"/>
        <c:lblAlgn val="ctr"/>
        <c:lblOffset val="100"/>
      </c:catAx>
      <c:valAx>
        <c:axId val="15265792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4793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16.697868368663439</c:v>
                </c:pt>
              </c:numCache>
            </c:numRef>
          </c:val>
        </c:ser>
        <c:ser>
          <c:idx val="4"/>
          <c:order val="3"/>
          <c:tx>
            <c:strRef>
              <c:f>Sheet1!$CE$383</c:f>
              <c:strCache>
                <c:ptCount val="1"/>
                <c:pt idx="0">
                  <c:v>Cheshire East</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15.6076249171601</c:v>
                </c:pt>
                <c:pt idx="1">
                  <c:v>14.781140632503799</c:v>
                </c:pt>
                <c:pt idx="2">
                  <c:v>15.790611535832801</c:v>
                </c:pt>
              </c:numCache>
            </c:numRef>
          </c:val>
        </c:ser>
        <c:marker val="1"/>
        <c:axId val="152685184"/>
        <c:axId val="152568192"/>
      </c:lineChart>
      <c:catAx>
        <c:axId val="152685184"/>
        <c:scaling>
          <c:orientation val="minMax"/>
        </c:scaling>
        <c:axPos val="b"/>
        <c:numFmt formatCode="General" sourceLinked="1"/>
        <c:tickLblPos val="nextTo"/>
        <c:crossAx val="152568192"/>
        <c:crosses val="autoZero"/>
        <c:auto val="1"/>
        <c:lblAlgn val="ctr"/>
        <c:lblOffset val="100"/>
      </c:catAx>
      <c:valAx>
        <c:axId val="15256819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8518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9E1AB-782C-439F-A691-0EC226E9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30</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2018-06-21T14:10:00Z</dcterms:created>
  <dcterms:modified xsi:type="dcterms:W3CDTF">2018-07-16T10:58:00Z</dcterms:modified>
</cp:coreProperties>
</file>