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377F1F">
      <w:r w:rsidRPr="00377F1F">
        <w:rPr>
          <w:noProof/>
          <w:lang w:val="en-US" w:eastAsia="zh-TW"/>
        </w:rPr>
        <w:pict>
          <v:shapetype id="_x0000_t202" coordsize="21600,21600" o:spt="202" path="m,l,21600r21600,l21600,xe">
            <v:stroke joinstyle="miter"/>
            <v:path gradientshapeok="t" o:connecttype="rect"/>
          </v:shapetype>
          <v:shape id="_x0000_s1026" type="#_x0000_t202" style="position:absolute;margin-left:9612.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6C5ECC" w:rsidRDefault="00190253" w:rsidP="004D3814">
                  <w:pPr>
                    <w:jc w:val="right"/>
                    <w:rPr>
                      <w:rFonts w:ascii="Segoe UI" w:hAnsi="Segoe UI" w:cs="Segoe UI"/>
                      <w:b/>
                      <w:sz w:val="52"/>
                      <w:szCs w:val="72"/>
                      <w:u w:val="single"/>
                    </w:rPr>
                  </w:pPr>
                  <w:r w:rsidRPr="006C5ECC">
                    <w:rPr>
                      <w:rFonts w:ascii="Segoe UI" w:hAnsi="Segoe UI" w:cs="Segoe UI"/>
                      <w:b/>
                      <w:sz w:val="52"/>
                      <w:szCs w:val="72"/>
                      <w:u w:val="single"/>
                    </w:rPr>
                    <w:t xml:space="preserve">East </w:t>
                  </w:r>
                  <w:r w:rsidR="006C5ECC" w:rsidRPr="006C5ECC">
                    <w:rPr>
                      <w:rFonts w:ascii="Segoe UI" w:hAnsi="Segoe UI" w:cs="Segoe UI"/>
                      <w:b/>
                      <w:sz w:val="52"/>
                      <w:szCs w:val="72"/>
                      <w:u w:val="single"/>
                    </w:rPr>
                    <w:t>Northamptonshire</w:t>
                  </w:r>
                  <w:r w:rsidR="00C13421" w:rsidRPr="006C5ECC">
                    <w:rPr>
                      <w:rFonts w:ascii="Segoe UI" w:hAnsi="Segoe UI" w:cs="Segoe UI"/>
                      <w:b/>
                      <w:sz w:val="52"/>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377F1F"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377F1F"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377F1F"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377F1F"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377F1F"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424320"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424320" w:rsidRDefault="00424320" w:rsidP="00424320">
            <w:pPr>
              <w:spacing w:after="100" w:afterAutospacing="1"/>
              <w:rPr>
                <w:rFonts w:ascii="Tahoma" w:hAnsi="Tahoma" w:cs="Tahoma"/>
                <w:color w:val="000000"/>
                <w:sz w:val="16"/>
                <w:szCs w:val="16"/>
              </w:rPr>
            </w:pPr>
            <w:r>
              <w:rPr>
                <w:rFonts w:ascii="Tahoma" w:hAnsi="Tahoma" w:cs="Tahoma"/>
                <w:color w:val="000000"/>
                <w:sz w:val="16"/>
                <w:szCs w:val="16"/>
              </w:rPr>
              <w:t>Northamptonshire</w:t>
            </w:r>
          </w:p>
        </w:tc>
        <w:tc>
          <w:tcPr>
            <w:tcW w:w="1200" w:type="dxa"/>
            <w:tcBorders>
              <w:top w:val="nil"/>
              <w:left w:val="nil"/>
              <w:bottom w:val="single" w:sz="4" w:space="0" w:color="auto"/>
              <w:right w:val="single" w:sz="4" w:space="0" w:color="auto"/>
            </w:tcBorders>
            <w:shd w:val="clear" w:color="auto" w:fill="auto"/>
            <w:noWrap/>
            <w:vAlign w:val="bottom"/>
            <w:hideMark/>
          </w:tcPr>
          <w:p w:rsidR="00424320" w:rsidRDefault="00424320" w:rsidP="00424320">
            <w:pPr>
              <w:spacing w:after="100" w:afterAutospacing="1"/>
              <w:jc w:val="right"/>
              <w:rPr>
                <w:rFonts w:ascii="Tahoma" w:hAnsi="Tahoma" w:cs="Tahoma"/>
                <w:color w:val="000000"/>
                <w:sz w:val="16"/>
                <w:szCs w:val="16"/>
              </w:rPr>
            </w:pPr>
            <w:r>
              <w:rPr>
                <w:rFonts w:ascii="Tahoma" w:hAnsi="Tahoma" w:cs="Tahoma"/>
                <w:color w:val="000000"/>
                <w:sz w:val="16"/>
                <w:szCs w:val="16"/>
              </w:rPr>
              <w:t>5104</w:t>
            </w:r>
          </w:p>
        </w:tc>
        <w:tc>
          <w:tcPr>
            <w:tcW w:w="1200" w:type="dxa"/>
            <w:tcBorders>
              <w:top w:val="nil"/>
              <w:left w:val="nil"/>
              <w:bottom w:val="single" w:sz="4" w:space="0" w:color="auto"/>
              <w:right w:val="single" w:sz="4" w:space="0" w:color="auto"/>
            </w:tcBorders>
            <w:shd w:val="clear" w:color="auto" w:fill="auto"/>
            <w:noWrap/>
            <w:vAlign w:val="bottom"/>
            <w:hideMark/>
          </w:tcPr>
          <w:p w:rsidR="00424320" w:rsidRDefault="00424320" w:rsidP="00424320">
            <w:pPr>
              <w:spacing w:after="100" w:afterAutospacing="1"/>
              <w:jc w:val="right"/>
              <w:rPr>
                <w:rFonts w:ascii="Tahoma" w:hAnsi="Tahoma" w:cs="Tahoma"/>
                <w:color w:val="000000"/>
                <w:sz w:val="16"/>
                <w:szCs w:val="16"/>
              </w:rPr>
            </w:pPr>
            <w:r>
              <w:rPr>
                <w:rFonts w:ascii="Tahoma" w:hAnsi="Tahoma" w:cs="Tahoma"/>
                <w:color w:val="000000"/>
                <w:sz w:val="16"/>
                <w:szCs w:val="16"/>
              </w:rPr>
              <w:t>5138</w:t>
            </w:r>
          </w:p>
        </w:tc>
        <w:tc>
          <w:tcPr>
            <w:tcW w:w="1200" w:type="dxa"/>
            <w:tcBorders>
              <w:top w:val="nil"/>
              <w:left w:val="nil"/>
              <w:bottom w:val="single" w:sz="4" w:space="0" w:color="auto"/>
              <w:right w:val="single" w:sz="4" w:space="0" w:color="auto"/>
            </w:tcBorders>
            <w:shd w:val="clear" w:color="auto" w:fill="auto"/>
            <w:noWrap/>
            <w:vAlign w:val="bottom"/>
            <w:hideMark/>
          </w:tcPr>
          <w:p w:rsidR="00424320" w:rsidRDefault="00424320" w:rsidP="00424320">
            <w:pPr>
              <w:spacing w:after="100" w:afterAutospacing="1"/>
              <w:jc w:val="right"/>
              <w:rPr>
                <w:rFonts w:ascii="Tahoma" w:hAnsi="Tahoma" w:cs="Tahoma"/>
                <w:color w:val="000000"/>
                <w:sz w:val="16"/>
                <w:szCs w:val="16"/>
              </w:rPr>
            </w:pPr>
            <w:r>
              <w:rPr>
                <w:rFonts w:ascii="Tahoma" w:hAnsi="Tahoma" w:cs="Tahoma"/>
                <w:color w:val="000000"/>
                <w:sz w:val="16"/>
                <w:szCs w:val="16"/>
              </w:rPr>
              <w:t>5253</w:t>
            </w:r>
          </w:p>
        </w:tc>
        <w:tc>
          <w:tcPr>
            <w:tcW w:w="1200" w:type="dxa"/>
            <w:tcBorders>
              <w:top w:val="nil"/>
              <w:left w:val="nil"/>
              <w:bottom w:val="single" w:sz="4" w:space="0" w:color="auto"/>
              <w:right w:val="single" w:sz="4" w:space="0" w:color="auto"/>
            </w:tcBorders>
            <w:shd w:val="clear" w:color="auto" w:fill="auto"/>
            <w:noWrap/>
            <w:vAlign w:val="bottom"/>
            <w:hideMark/>
          </w:tcPr>
          <w:p w:rsidR="00424320" w:rsidRDefault="00424320" w:rsidP="00424320">
            <w:pPr>
              <w:spacing w:after="100" w:afterAutospacing="1"/>
              <w:jc w:val="right"/>
              <w:rPr>
                <w:rFonts w:ascii="Tahoma" w:hAnsi="Tahoma" w:cs="Tahoma"/>
                <w:color w:val="000000"/>
                <w:sz w:val="16"/>
                <w:szCs w:val="16"/>
              </w:rPr>
            </w:pPr>
            <w:r>
              <w:rPr>
                <w:rFonts w:ascii="Tahoma" w:hAnsi="Tahoma" w:cs="Tahoma"/>
                <w:color w:val="000000"/>
                <w:sz w:val="16"/>
                <w:szCs w:val="16"/>
              </w:rPr>
              <w:t>5369</w:t>
            </w:r>
          </w:p>
        </w:tc>
        <w:tc>
          <w:tcPr>
            <w:tcW w:w="1200" w:type="dxa"/>
            <w:tcBorders>
              <w:top w:val="nil"/>
              <w:left w:val="nil"/>
              <w:bottom w:val="single" w:sz="4" w:space="0" w:color="auto"/>
              <w:right w:val="single" w:sz="4" w:space="0" w:color="auto"/>
            </w:tcBorders>
            <w:shd w:val="clear" w:color="auto" w:fill="auto"/>
            <w:noWrap/>
            <w:vAlign w:val="bottom"/>
            <w:hideMark/>
          </w:tcPr>
          <w:p w:rsidR="00424320" w:rsidRDefault="00424320" w:rsidP="00424320">
            <w:pPr>
              <w:spacing w:after="100" w:afterAutospacing="1"/>
              <w:jc w:val="right"/>
              <w:rPr>
                <w:rFonts w:ascii="Tahoma" w:hAnsi="Tahoma" w:cs="Tahoma"/>
                <w:color w:val="000000"/>
                <w:sz w:val="16"/>
                <w:szCs w:val="16"/>
              </w:rPr>
            </w:pPr>
            <w:r>
              <w:rPr>
                <w:rFonts w:ascii="Tahoma" w:hAnsi="Tahoma" w:cs="Tahoma"/>
                <w:color w:val="000000"/>
                <w:sz w:val="16"/>
                <w:szCs w:val="16"/>
              </w:rPr>
              <w:t>5468</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424320"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424320" w:rsidRDefault="00424320" w:rsidP="00424320">
            <w:pPr>
              <w:spacing w:after="100" w:afterAutospacing="1"/>
              <w:rPr>
                <w:rFonts w:ascii="Tahoma" w:hAnsi="Tahoma" w:cs="Tahoma"/>
                <w:color w:val="000000"/>
                <w:sz w:val="16"/>
                <w:szCs w:val="16"/>
              </w:rPr>
            </w:pPr>
            <w:r>
              <w:rPr>
                <w:rFonts w:ascii="Tahoma" w:hAnsi="Tahoma" w:cs="Tahoma"/>
                <w:color w:val="000000"/>
                <w:sz w:val="16"/>
                <w:szCs w:val="16"/>
              </w:rPr>
              <w:t>Northamptonshire</w:t>
            </w:r>
          </w:p>
        </w:tc>
        <w:tc>
          <w:tcPr>
            <w:tcW w:w="1200" w:type="dxa"/>
            <w:tcBorders>
              <w:top w:val="nil"/>
              <w:left w:val="nil"/>
              <w:bottom w:val="single" w:sz="4" w:space="0" w:color="auto"/>
              <w:right w:val="single" w:sz="4" w:space="0" w:color="auto"/>
            </w:tcBorders>
            <w:shd w:val="clear" w:color="auto" w:fill="auto"/>
            <w:noWrap/>
            <w:vAlign w:val="bottom"/>
            <w:hideMark/>
          </w:tcPr>
          <w:p w:rsidR="00424320" w:rsidRDefault="00424320" w:rsidP="00424320">
            <w:pPr>
              <w:spacing w:after="100" w:afterAutospacing="1"/>
              <w:jc w:val="right"/>
              <w:rPr>
                <w:rFonts w:ascii="Tahoma" w:hAnsi="Tahoma" w:cs="Tahoma"/>
                <w:color w:val="000000"/>
                <w:sz w:val="16"/>
                <w:szCs w:val="16"/>
              </w:rPr>
            </w:pPr>
            <w:r>
              <w:rPr>
                <w:rFonts w:ascii="Tahoma" w:hAnsi="Tahoma" w:cs="Tahoma"/>
                <w:color w:val="000000"/>
                <w:sz w:val="16"/>
                <w:szCs w:val="16"/>
              </w:rPr>
              <w:t>3937</w:t>
            </w:r>
          </w:p>
        </w:tc>
        <w:tc>
          <w:tcPr>
            <w:tcW w:w="1200" w:type="dxa"/>
            <w:tcBorders>
              <w:top w:val="nil"/>
              <w:left w:val="nil"/>
              <w:bottom w:val="single" w:sz="4" w:space="0" w:color="auto"/>
              <w:right w:val="single" w:sz="4" w:space="0" w:color="auto"/>
            </w:tcBorders>
            <w:shd w:val="clear" w:color="auto" w:fill="auto"/>
            <w:noWrap/>
            <w:vAlign w:val="bottom"/>
            <w:hideMark/>
          </w:tcPr>
          <w:p w:rsidR="00424320" w:rsidRDefault="00424320" w:rsidP="00424320">
            <w:pPr>
              <w:spacing w:after="100" w:afterAutospacing="1"/>
              <w:jc w:val="right"/>
              <w:rPr>
                <w:rFonts w:ascii="Tahoma" w:hAnsi="Tahoma" w:cs="Tahoma"/>
                <w:color w:val="000000"/>
                <w:sz w:val="16"/>
                <w:szCs w:val="16"/>
              </w:rPr>
            </w:pPr>
            <w:r>
              <w:rPr>
                <w:rFonts w:ascii="Tahoma" w:hAnsi="Tahoma" w:cs="Tahoma"/>
                <w:color w:val="000000"/>
                <w:sz w:val="16"/>
                <w:szCs w:val="16"/>
              </w:rPr>
              <w:t>3944</w:t>
            </w:r>
          </w:p>
        </w:tc>
        <w:tc>
          <w:tcPr>
            <w:tcW w:w="1200" w:type="dxa"/>
            <w:tcBorders>
              <w:top w:val="nil"/>
              <w:left w:val="nil"/>
              <w:bottom w:val="single" w:sz="4" w:space="0" w:color="auto"/>
              <w:right w:val="single" w:sz="4" w:space="0" w:color="auto"/>
            </w:tcBorders>
            <w:shd w:val="clear" w:color="auto" w:fill="auto"/>
            <w:noWrap/>
            <w:vAlign w:val="bottom"/>
            <w:hideMark/>
          </w:tcPr>
          <w:p w:rsidR="00424320" w:rsidRDefault="00424320" w:rsidP="00424320">
            <w:pPr>
              <w:spacing w:after="100" w:afterAutospacing="1"/>
              <w:jc w:val="right"/>
              <w:rPr>
                <w:rFonts w:ascii="Tahoma" w:hAnsi="Tahoma" w:cs="Tahoma"/>
                <w:color w:val="000000"/>
                <w:sz w:val="16"/>
                <w:szCs w:val="16"/>
              </w:rPr>
            </w:pPr>
            <w:r>
              <w:rPr>
                <w:rFonts w:ascii="Tahoma" w:hAnsi="Tahoma" w:cs="Tahoma"/>
                <w:color w:val="000000"/>
                <w:sz w:val="16"/>
                <w:szCs w:val="16"/>
              </w:rPr>
              <w:t>4012</w:t>
            </w:r>
          </w:p>
        </w:tc>
        <w:tc>
          <w:tcPr>
            <w:tcW w:w="1200" w:type="dxa"/>
            <w:tcBorders>
              <w:top w:val="nil"/>
              <w:left w:val="nil"/>
              <w:bottom w:val="single" w:sz="4" w:space="0" w:color="auto"/>
              <w:right w:val="single" w:sz="4" w:space="0" w:color="auto"/>
            </w:tcBorders>
            <w:shd w:val="clear" w:color="auto" w:fill="auto"/>
            <w:noWrap/>
            <w:vAlign w:val="bottom"/>
            <w:hideMark/>
          </w:tcPr>
          <w:p w:rsidR="00424320" w:rsidRDefault="00424320" w:rsidP="00424320">
            <w:pPr>
              <w:spacing w:after="100" w:afterAutospacing="1"/>
              <w:jc w:val="right"/>
              <w:rPr>
                <w:rFonts w:ascii="Tahoma" w:hAnsi="Tahoma" w:cs="Tahoma"/>
                <w:color w:val="000000"/>
                <w:sz w:val="16"/>
                <w:szCs w:val="16"/>
              </w:rPr>
            </w:pPr>
            <w:r>
              <w:rPr>
                <w:rFonts w:ascii="Tahoma" w:hAnsi="Tahoma" w:cs="Tahoma"/>
                <w:color w:val="000000"/>
                <w:sz w:val="16"/>
                <w:szCs w:val="16"/>
              </w:rPr>
              <w:t>4076</w:t>
            </w:r>
          </w:p>
        </w:tc>
        <w:tc>
          <w:tcPr>
            <w:tcW w:w="1200" w:type="dxa"/>
            <w:tcBorders>
              <w:top w:val="nil"/>
              <w:left w:val="nil"/>
              <w:bottom w:val="single" w:sz="4" w:space="0" w:color="auto"/>
              <w:right w:val="single" w:sz="4" w:space="0" w:color="auto"/>
            </w:tcBorders>
            <w:shd w:val="clear" w:color="auto" w:fill="auto"/>
            <w:noWrap/>
            <w:vAlign w:val="bottom"/>
            <w:hideMark/>
          </w:tcPr>
          <w:p w:rsidR="00424320" w:rsidRDefault="00424320" w:rsidP="00424320">
            <w:pPr>
              <w:spacing w:after="100" w:afterAutospacing="1"/>
              <w:jc w:val="right"/>
              <w:rPr>
                <w:rFonts w:ascii="Tahoma" w:hAnsi="Tahoma" w:cs="Tahoma"/>
                <w:color w:val="000000"/>
                <w:sz w:val="16"/>
                <w:szCs w:val="16"/>
              </w:rPr>
            </w:pPr>
            <w:r>
              <w:rPr>
                <w:rFonts w:ascii="Tahoma" w:hAnsi="Tahoma" w:cs="Tahoma"/>
                <w:color w:val="000000"/>
                <w:sz w:val="16"/>
                <w:szCs w:val="16"/>
              </w:rPr>
              <w:t>4132</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424320"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424320" w:rsidRDefault="00424320" w:rsidP="00424320">
            <w:pPr>
              <w:spacing w:after="100" w:afterAutospacing="1"/>
              <w:rPr>
                <w:rFonts w:ascii="Tahoma" w:hAnsi="Tahoma" w:cs="Tahoma"/>
                <w:color w:val="000000"/>
                <w:sz w:val="16"/>
                <w:szCs w:val="16"/>
              </w:rPr>
            </w:pPr>
            <w:r>
              <w:rPr>
                <w:rFonts w:ascii="Tahoma" w:hAnsi="Tahoma" w:cs="Tahoma"/>
                <w:color w:val="000000"/>
                <w:sz w:val="16"/>
                <w:szCs w:val="16"/>
              </w:rPr>
              <w:t>Northamptonshire</w:t>
            </w:r>
          </w:p>
        </w:tc>
        <w:tc>
          <w:tcPr>
            <w:tcW w:w="1054" w:type="dxa"/>
            <w:tcBorders>
              <w:top w:val="nil"/>
              <w:left w:val="nil"/>
              <w:bottom w:val="single" w:sz="4" w:space="0" w:color="auto"/>
              <w:right w:val="single" w:sz="4" w:space="0" w:color="auto"/>
            </w:tcBorders>
            <w:shd w:val="clear" w:color="auto" w:fill="auto"/>
            <w:noWrap/>
            <w:vAlign w:val="bottom"/>
            <w:hideMark/>
          </w:tcPr>
          <w:p w:rsidR="00424320" w:rsidRDefault="00424320" w:rsidP="00424320">
            <w:pPr>
              <w:spacing w:after="100" w:afterAutospacing="1"/>
              <w:jc w:val="right"/>
              <w:rPr>
                <w:rFonts w:ascii="Tahoma" w:hAnsi="Tahoma" w:cs="Tahoma"/>
                <w:color w:val="000000"/>
                <w:sz w:val="16"/>
                <w:szCs w:val="16"/>
              </w:rPr>
            </w:pPr>
            <w:r>
              <w:rPr>
                <w:rFonts w:ascii="Tahoma" w:hAnsi="Tahoma" w:cs="Tahoma"/>
                <w:color w:val="000000"/>
                <w:sz w:val="16"/>
                <w:szCs w:val="16"/>
              </w:rPr>
              <w:t>2715</w:t>
            </w:r>
          </w:p>
        </w:tc>
        <w:tc>
          <w:tcPr>
            <w:tcW w:w="1054" w:type="dxa"/>
            <w:tcBorders>
              <w:top w:val="nil"/>
              <w:left w:val="nil"/>
              <w:bottom w:val="single" w:sz="4" w:space="0" w:color="auto"/>
              <w:right w:val="single" w:sz="4" w:space="0" w:color="auto"/>
            </w:tcBorders>
            <w:shd w:val="clear" w:color="auto" w:fill="auto"/>
            <w:noWrap/>
            <w:vAlign w:val="bottom"/>
            <w:hideMark/>
          </w:tcPr>
          <w:p w:rsidR="00424320" w:rsidRDefault="00424320" w:rsidP="00424320">
            <w:pPr>
              <w:spacing w:after="100" w:afterAutospacing="1"/>
              <w:jc w:val="right"/>
              <w:rPr>
                <w:rFonts w:ascii="Tahoma" w:hAnsi="Tahoma" w:cs="Tahoma"/>
                <w:color w:val="000000"/>
                <w:sz w:val="16"/>
                <w:szCs w:val="16"/>
              </w:rPr>
            </w:pPr>
            <w:r>
              <w:rPr>
                <w:rFonts w:ascii="Tahoma" w:hAnsi="Tahoma" w:cs="Tahoma"/>
                <w:color w:val="000000"/>
                <w:sz w:val="16"/>
                <w:szCs w:val="16"/>
              </w:rPr>
              <w:t>2737</w:t>
            </w:r>
          </w:p>
        </w:tc>
        <w:tc>
          <w:tcPr>
            <w:tcW w:w="1054" w:type="dxa"/>
            <w:tcBorders>
              <w:top w:val="nil"/>
              <w:left w:val="nil"/>
              <w:bottom w:val="single" w:sz="4" w:space="0" w:color="auto"/>
              <w:right w:val="single" w:sz="4" w:space="0" w:color="auto"/>
            </w:tcBorders>
            <w:shd w:val="clear" w:color="auto" w:fill="auto"/>
            <w:noWrap/>
            <w:vAlign w:val="bottom"/>
            <w:hideMark/>
          </w:tcPr>
          <w:p w:rsidR="00424320" w:rsidRDefault="00424320" w:rsidP="00424320">
            <w:pPr>
              <w:spacing w:after="100" w:afterAutospacing="1"/>
              <w:jc w:val="right"/>
              <w:rPr>
                <w:rFonts w:ascii="Tahoma" w:hAnsi="Tahoma" w:cs="Tahoma"/>
                <w:color w:val="000000"/>
                <w:sz w:val="16"/>
                <w:szCs w:val="16"/>
              </w:rPr>
            </w:pPr>
            <w:r>
              <w:rPr>
                <w:rFonts w:ascii="Tahoma" w:hAnsi="Tahoma" w:cs="Tahoma"/>
                <w:color w:val="000000"/>
                <w:sz w:val="16"/>
                <w:szCs w:val="16"/>
              </w:rPr>
              <w:t>2832</w:t>
            </w:r>
          </w:p>
        </w:tc>
        <w:tc>
          <w:tcPr>
            <w:tcW w:w="1054" w:type="dxa"/>
            <w:tcBorders>
              <w:top w:val="nil"/>
              <w:left w:val="nil"/>
              <w:bottom w:val="single" w:sz="4" w:space="0" w:color="auto"/>
              <w:right w:val="single" w:sz="4" w:space="0" w:color="auto"/>
            </w:tcBorders>
            <w:shd w:val="clear" w:color="auto" w:fill="auto"/>
            <w:noWrap/>
            <w:vAlign w:val="bottom"/>
            <w:hideMark/>
          </w:tcPr>
          <w:p w:rsidR="00424320" w:rsidRDefault="00424320" w:rsidP="00424320">
            <w:pPr>
              <w:spacing w:after="100" w:afterAutospacing="1"/>
              <w:jc w:val="right"/>
              <w:rPr>
                <w:rFonts w:ascii="Tahoma" w:hAnsi="Tahoma" w:cs="Tahoma"/>
                <w:color w:val="000000"/>
                <w:sz w:val="16"/>
                <w:szCs w:val="16"/>
              </w:rPr>
            </w:pPr>
            <w:r>
              <w:rPr>
                <w:rFonts w:ascii="Tahoma" w:hAnsi="Tahoma" w:cs="Tahoma"/>
                <w:color w:val="000000"/>
                <w:sz w:val="16"/>
                <w:szCs w:val="16"/>
              </w:rPr>
              <w:t>2908</w:t>
            </w:r>
          </w:p>
        </w:tc>
        <w:tc>
          <w:tcPr>
            <w:tcW w:w="1054" w:type="dxa"/>
            <w:tcBorders>
              <w:top w:val="nil"/>
              <w:left w:val="nil"/>
              <w:bottom w:val="single" w:sz="4" w:space="0" w:color="auto"/>
              <w:right w:val="single" w:sz="4" w:space="0" w:color="auto"/>
            </w:tcBorders>
            <w:shd w:val="clear" w:color="auto" w:fill="auto"/>
            <w:noWrap/>
            <w:vAlign w:val="bottom"/>
            <w:hideMark/>
          </w:tcPr>
          <w:p w:rsidR="00424320" w:rsidRDefault="00424320" w:rsidP="00424320">
            <w:pPr>
              <w:spacing w:after="100" w:afterAutospacing="1"/>
              <w:jc w:val="right"/>
              <w:rPr>
                <w:rFonts w:ascii="Tahoma" w:hAnsi="Tahoma" w:cs="Tahoma"/>
                <w:color w:val="000000"/>
                <w:sz w:val="16"/>
                <w:szCs w:val="16"/>
              </w:rPr>
            </w:pPr>
            <w:r>
              <w:rPr>
                <w:rFonts w:ascii="Tahoma" w:hAnsi="Tahoma" w:cs="Tahoma"/>
                <w:color w:val="000000"/>
                <w:sz w:val="16"/>
                <w:szCs w:val="16"/>
              </w:rPr>
              <w:t>2993</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1143AC"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1143AC" w:rsidRDefault="001143AC" w:rsidP="001143AC">
            <w:pPr>
              <w:spacing w:after="100" w:afterAutospacing="1"/>
              <w:rPr>
                <w:rFonts w:ascii="Tahoma" w:hAnsi="Tahoma" w:cs="Tahoma"/>
                <w:color w:val="000000"/>
                <w:sz w:val="16"/>
                <w:szCs w:val="16"/>
              </w:rPr>
            </w:pPr>
            <w:r>
              <w:rPr>
                <w:rFonts w:ascii="Tahoma" w:hAnsi="Tahoma" w:cs="Tahoma"/>
                <w:color w:val="000000"/>
                <w:sz w:val="16"/>
                <w:szCs w:val="16"/>
              </w:rPr>
              <w:t>Northamptonshire</w:t>
            </w:r>
          </w:p>
        </w:tc>
        <w:tc>
          <w:tcPr>
            <w:tcW w:w="2818" w:type="dxa"/>
            <w:tcBorders>
              <w:top w:val="nil"/>
              <w:left w:val="nil"/>
              <w:bottom w:val="single" w:sz="4" w:space="0" w:color="auto"/>
              <w:right w:val="single" w:sz="4" w:space="0" w:color="auto"/>
            </w:tcBorders>
            <w:shd w:val="clear" w:color="auto" w:fill="auto"/>
            <w:noWrap/>
            <w:vAlign w:val="bottom"/>
            <w:hideMark/>
          </w:tcPr>
          <w:p w:rsidR="001143AC" w:rsidRDefault="001143AC" w:rsidP="001143AC">
            <w:pPr>
              <w:spacing w:after="100" w:afterAutospacing="1"/>
              <w:jc w:val="right"/>
              <w:rPr>
                <w:rFonts w:ascii="Tahoma" w:hAnsi="Tahoma" w:cs="Tahoma"/>
                <w:color w:val="000000"/>
                <w:sz w:val="16"/>
                <w:szCs w:val="16"/>
              </w:rPr>
            </w:pPr>
            <w:r>
              <w:rPr>
                <w:rFonts w:ascii="Tahoma" w:hAnsi="Tahoma" w:cs="Tahoma"/>
                <w:color w:val="000000"/>
                <w:sz w:val="16"/>
                <w:szCs w:val="16"/>
              </w:rPr>
              <w:t>33.8</w:t>
            </w:r>
          </w:p>
        </w:tc>
        <w:tc>
          <w:tcPr>
            <w:tcW w:w="2647" w:type="dxa"/>
            <w:tcBorders>
              <w:top w:val="nil"/>
              <w:left w:val="nil"/>
              <w:bottom w:val="single" w:sz="4" w:space="0" w:color="auto"/>
              <w:right w:val="single" w:sz="4" w:space="0" w:color="auto"/>
            </w:tcBorders>
            <w:shd w:val="clear" w:color="auto" w:fill="auto"/>
            <w:noWrap/>
            <w:vAlign w:val="bottom"/>
            <w:hideMark/>
          </w:tcPr>
          <w:p w:rsidR="001143AC" w:rsidRDefault="001143AC" w:rsidP="001143AC">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1143AC" w:rsidRDefault="001143AC" w:rsidP="001143AC">
            <w:pPr>
              <w:spacing w:after="100" w:afterAutospacing="1"/>
              <w:jc w:val="right"/>
              <w:rPr>
                <w:rFonts w:ascii="Tahoma" w:hAnsi="Tahoma" w:cs="Tahoma"/>
                <w:color w:val="000000"/>
                <w:sz w:val="16"/>
                <w:szCs w:val="16"/>
              </w:rPr>
            </w:pPr>
            <w:r>
              <w:rPr>
                <w:rFonts w:ascii="Tahoma" w:hAnsi="Tahoma" w:cs="Tahoma"/>
                <w:color w:val="000000"/>
                <w:sz w:val="16"/>
                <w:szCs w:val="16"/>
              </w:rPr>
              <w:t>33.8</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1143AC"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1143AC" w:rsidRDefault="001143AC" w:rsidP="001143AC">
            <w:pPr>
              <w:spacing w:after="100" w:afterAutospacing="1"/>
              <w:rPr>
                <w:rFonts w:ascii="Tahoma" w:hAnsi="Tahoma" w:cs="Tahoma"/>
                <w:color w:val="000000"/>
                <w:sz w:val="16"/>
                <w:szCs w:val="16"/>
              </w:rPr>
            </w:pPr>
            <w:r>
              <w:rPr>
                <w:rFonts w:ascii="Tahoma" w:hAnsi="Tahoma" w:cs="Tahoma"/>
                <w:color w:val="000000"/>
                <w:sz w:val="16"/>
                <w:szCs w:val="16"/>
              </w:rPr>
              <w:t>Northamptonshire</w:t>
            </w:r>
          </w:p>
        </w:tc>
        <w:tc>
          <w:tcPr>
            <w:tcW w:w="1356" w:type="dxa"/>
            <w:tcBorders>
              <w:top w:val="nil"/>
              <w:left w:val="nil"/>
              <w:bottom w:val="single" w:sz="4" w:space="0" w:color="auto"/>
              <w:right w:val="single" w:sz="4" w:space="0" w:color="auto"/>
            </w:tcBorders>
            <w:shd w:val="clear" w:color="auto" w:fill="auto"/>
            <w:noWrap/>
            <w:vAlign w:val="bottom"/>
            <w:hideMark/>
          </w:tcPr>
          <w:p w:rsidR="001143AC" w:rsidRDefault="001143AC" w:rsidP="001143AC">
            <w:pPr>
              <w:spacing w:after="100" w:afterAutospacing="1"/>
              <w:jc w:val="right"/>
              <w:rPr>
                <w:rFonts w:ascii="Tahoma" w:hAnsi="Tahoma" w:cs="Tahoma"/>
                <w:color w:val="000000"/>
                <w:sz w:val="16"/>
                <w:szCs w:val="16"/>
              </w:rPr>
            </w:pPr>
            <w:r>
              <w:rPr>
                <w:rFonts w:ascii="Tahoma" w:hAnsi="Tahoma" w:cs="Tahoma"/>
                <w:color w:val="000000"/>
                <w:sz w:val="16"/>
                <w:szCs w:val="16"/>
              </w:rPr>
              <w:t>104.64</w:t>
            </w:r>
          </w:p>
        </w:tc>
        <w:tc>
          <w:tcPr>
            <w:tcW w:w="1377" w:type="dxa"/>
            <w:tcBorders>
              <w:top w:val="nil"/>
              <w:left w:val="nil"/>
              <w:bottom w:val="single" w:sz="4" w:space="0" w:color="auto"/>
              <w:right w:val="single" w:sz="4" w:space="0" w:color="auto"/>
            </w:tcBorders>
            <w:shd w:val="clear" w:color="auto" w:fill="auto"/>
            <w:noWrap/>
            <w:vAlign w:val="bottom"/>
            <w:hideMark/>
          </w:tcPr>
          <w:p w:rsidR="001143AC" w:rsidRDefault="001143AC" w:rsidP="001143AC">
            <w:pPr>
              <w:spacing w:after="100" w:afterAutospacing="1"/>
              <w:jc w:val="right"/>
              <w:rPr>
                <w:rFonts w:ascii="Tahoma" w:hAnsi="Tahoma" w:cs="Tahoma"/>
                <w:color w:val="000000"/>
                <w:sz w:val="16"/>
                <w:szCs w:val="16"/>
              </w:rPr>
            </w:pPr>
            <w:r>
              <w:rPr>
                <w:rFonts w:ascii="Tahoma" w:hAnsi="Tahoma" w:cs="Tahoma"/>
                <w:color w:val="000000"/>
                <w:sz w:val="16"/>
                <w:szCs w:val="16"/>
              </w:rPr>
              <w:t>0.87</w:t>
            </w:r>
          </w:p>
        </w:tc>
        <w:tc>
          <w:tcPr>
            <w:tcW w:w="1661" w:type="dxa"/>
            <w:tcBorders>
              <w:top w:val="nil"/>
              <w:left w:val="nil"/>
              <w:bottom w:val="single" w:sz="4" w:space="0" w:color="auto"/>
              <w:right w:val="single" w:sz="4" w:space="0" w:color="auto"/>
            </w:tcBorders>
            <w:shd w:val="clear" w:color="auto" w:fill="auto"/>
            <w:noWrap/>
            <w:vAlign w:val="bottom"/>
            <w:hideMark/>
          </w:tcPr>
          <w:p w:rsidR="001143AC" w:rsidRDefault="001143AC" w:rsidP="001143AC">
            <w:pPr>
              <w:spacing w:after="100" w:afterAutospacing="1"/>
              <w:jc w:val="right"/>
              <w:rPr>
                <w:rFonts w:ascii="Tahoma" w:hAnsi="Tahoma" w:cs="Tahoma"/>
                <w:color w:val="000000"/>
                <w:sz w:val="16"/>
                <w:szCs w:val="16"/>
              </w:rPr>
            </w:pPr>
            <w:r>
              <w:rPr>
                <w:rFonts w:ascii="Tahoma" w:hAnsi="Tahoma" w:cs="Tahoma"/>
                <w:color w:val="000000"/>
                <w:sz w:val="16"/>
                <w:szCs w:val="16"/>
              </w:rPr>
              <w:t>232.27</w:t>
            </w:r>
          </w:p>
        </w:tc>
        <w:tc>
          <w:tcPr>
            <w:tcW w:w="1559" w:type="dxa"/>
            <w:tcBorders>
              <w:top w:val="nil"/>
              <w:left w:val="nil"/>
              <w:bottom w:val="single" w:sz="4" w:space="0" w:color="auto"/>
              <w:right w:val="single" w:sz="4" w:space="0" w:color="auto"/>
            </w:tcBorders>
            <w:shd w:val="clear" w:color="auto" w:fill="auto"/>
            <w:noWrap/>
            <w:vAlign w:val="bottom"/>
            <w:hideMark/>
          </w:tcPr>
          <w:p w:rsidR="001143AC" w:rsidRDefault="001143AC" w:rsidP="001143AC">
            <w:pPr>
              <w:spacing w:after="100" w:afterAutospacing="1"/>
              <w:jc w:val="right"/>
              <w:rPr>
                <w:rFonts w:ascii="Tahoma" w:hAnsi="Tahoma" w:cs="Tahoma"/>
                <w:color w:val="000000"/>
                <w:sz w:val="16"/>
                <w:szCs w:val="16"/>
              </w:rPr>
            </w:pPr>
            <w:r>
              <w:rPr>
                <w:rFonts w:ascii="Tahoma" w:hAnsi="Tahoma" w:cs="Tahoma"/>
                <w:color w:val="000000"/>
                <w:sz w:val="16"/>
                <w:szCs w:val="16"/>
              </w:rPr>
              <w:t>82.95</w:t>
            </w:r>
          </w:p>
        </w:tc>
        <w:tc>
          <w:tcPr>
            <w:tcW w:w="1418" w:type="dxa"/>
            <w:tcBorders>
              <w:top w:val="nil"/>
              <w:left w:val="nil"/>
              <w:bottom w:val="single" w:sz="4" w:space="0" w:color="auto"/>
              <w:right w:val="single" w:sz="4" w:space="0" w:color="auto"/>
            </w:tcBorders>
            <w:shd w:val="clear" w:color="auto" w:fill="auto"/>
            <w:noWrap/>
            <w:vAlign w:val="bottom"/>
            <w:hideMark/>
          </w:tcPr>
          <w:p w:rsidR="001143AC" w:rsidRDefault="001143AC" w:rsidP="001143AC">
            <w:pPr>
              <w:spacing w:after="100" w:afterAutospacing="1"/>
              <w:jc w:val="right"/>
              <w:rPr>
                <w:rFonts w:ascii="Tahoma" w:hAnsi="Tahoma" w:cs="Tahoma"/>
                <w:color w:val="000000"/>
                <w:sz w:val="16"/>
                <w:szCs w:val="16"/>
              </w:rPr>
            </w:pPr>
            <w:r>
              <w:rPr>
                <w:rFonts w:ascii="Tahoma" w:hAnsi="Tahoma" w:cs="Tahoma"/>
                <w:color w:val="000000"/>
                <w:sz w:val="16"/>
                <w:szCs w:val="16"/>
              </w:rPr>
              <w:t>420.73</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1143AC"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1143AC" w:rsidRDefault="001143AC" w:rsidP="001143AC">
            <w:pPr>
              <w:spacing w:after="100" w:afterAutospacing="1"/>
              <w:rPr>
                <w:rFonts w:ascii="Tahoma" w:hAnsi="Tahoma" w:cs="Tahoma"/>
                <w:color w:val="000000"/>
                <w:sz w:val="16"/>
                <w:szCs w:val="16"/>
              </w:rPr>
            </w:pPr>
            <w:r>
              <w:rPr>
                <w:rFonts w:ascii="Tahoma" w:hAnsi="Tahoma" w:cs="Tahoma"/>
                <w:color w:val="000000"/>
                <w:sz w:val="16"/>
                <w:szCs w:val="16"/>
              </w:rPr>
              <w:t>Northamptonshire</w:t>
            </w:r>
          </w:p>
        </w:tc>
        <w:tc>
          <w:tcPr>
            <w:tcW w:w="1276" w:type="dxa"/>
            <w:tcBorders>
              <w:top w:val="nil"/>
              <w:left w:val="nil"/>
              <w:bottom w:val="single" w:sz="4" w:space="0" w:color="auto"/>
              <w:right w:val="single" w:sz="4" w:space="0" w:color="auto"/>
            </w:tcBorders>
            <w:shd w:val="clear" w:color="auto" w:fill="auto"/>
            <w:noWrap/>
            <w:vAlign w:val="bottom"/>
            <w:hideMark/>
          </w:tcPr>
          <w:p w:rsidR="001143AC" w:rsidRDefault="001143AC" w:rsidP="001143AC">
            <w:pPr>
              <w:spacing w:after="100" w:afterAutospacing="1"/>
              <w:jc w:val="right"/>
              <w:rPr>
                <w:rFonts w:ascii="Tahoma" w:hAnsi="Tahoma" w:cs="Tahoma"/>
                <w:color w:val="000000"/>
                <w:sz w:val="16"/>
                <w:szCs w:val="16"/>
              </w:rPr>
            </w:pPr>
            <w:r>
              <w:rPr>
                <w:rFonts w:ascii="Tahoma" w:hAnsi="Tahoma" w:cs="Tahoma"/>
                <w:color w:val="000000"/>
                <w:sz w:val="16"/>
                <w:szCs w:val="16"/>
              </w:rPr>
              <w:t>82.4</w:t>
            </w:r>
          </w:p>
        </w:tc>
        <w:tc>
          <w:tcPr>
            <w:tcW w:w="1417" w:type="dxa"/>
            <w:tcBorders>
              <w:top w:val="nil"/>
              <w:left w:val="nil"/>
              <w:bottom w:val="single" w:sz="4" w:space="0" w:color="auto"/>
              <w:right w:val="single" w:sz="4" w:space="0" w:color="auto"/>
            </w:tcBorders>
            <w:shd w:val="clear" w:color="auto" w:fill="auto"/>
            <w:noWrap/>
            <w:vAlign w:val="bottom"/>
            <w:hideMark/>
          </w:tcPr>
          <w:p w:rsidR="001143AC" w:rsidRDefault="001143AC" w:rsidP="001143AC">
            <w:pPr>
              <w:spacing w:after="100" w:afterAutospacing="1"/>
              <w:jc w:val="right"/>
              <w:rPr>
                <w:rFonts w:ascii="Tahoma" w:hAnsi="Tahoma" w:cs="Tahoma"/>
                <w:color w:val="000000"/>
                <w:sz w:val="16"/>
                <w:szCs w:val="16"/>
              </w:rPr>
            </w:pPr>
            <w:r>
              <w:rPr>
                <w:rFonts w:ascii="Tahoma" w:hAnsi="Tahoma" w:cs="Tahoma"/>
                <w:color w:val="000000"/>
                <w:sz w:val="16"/>
                <w:szCs w:val="16"/>
              </w:rPr>
              <w:t>12.2</w:t>
            </w:r>
          </w:p>
        </w:tc>
        <w:tc>
          <w:tcPr>
            <w:tcW w:w="1559" w:type="dxa"/>
            <w:tcBorders>
              <w:top w:val="nil"/>
              <w:left w:val="nil"/>
              <w:bottom w:val="single" w:sz="4" w:space="0" w:color="auto"/>
              <w:right w:val="single" w:sz="4" w:space="0" w:color="auto"/>
            </w:tcBorders>
            <w:shd w:val="clear" w:color="auto" w:fill="auto"/>
            <w:noWrap/>
            <w:vAlign w:val="bottom"/>
            <w:hideMark/>
          </w:tcPr>
          <w:p w:rsidR="001143AC" w:rsidRDefault="001143AC" w:rsidP="001143AC">
            <w:pPr>
              <w:spacing w:after="100" w:afterAutospacing="1"/>
              <w:jc w:val="right"/>
              <w:rPr>
                <w:rFonts w:ascii="Tahoma" w:hAnsi="Tahoma" w:cs="Tahoma"/>
                <w:color w:val="000000"/>
                <w:sz w:val="16"/>
                <w:szCs w:val="16"/>
              </w:rPr>
            </w:pPr>
            <w:r>
              <w:rPr>
                <w:rFonts w:ascii="Tahoma" w:hAnsi="Tahoma" w:cs="Tahoma"/>
                <w:color w:val="000000"/>
                <w:sz w:val="16"/>
                <w:szCs w:val="16"/>
              </w:rPr>
              <w:t>1542.5</w:t>
            </w:r>
          </w:p>
        </w:tc>
        <w:tc>
          <w:tcPr>
            <w:tcW w:w="1560" w:type="dxa"/>
            <w:tcBorders>
              <w:top w:val="nil"/>
              <w:left w:val="nil"/>
              <w:bottom w:val="single" w:sz="4" w:space="0" w:color="auto"/>
              <w:right w:val="single" w:sz="4" w:space="0" w:color="auto"/>
            </w:tcBorders>
            <w:shd w:val="clear" w:color="auto" w:fill="auto"/>
            <w:noWrap/>
            <w:vAlign w:val="bottom"/>
            <w:hideMark/>
          </w:tcPr>
          <w:p w:rsidR="001143AC" w:rsidRDefault="001143AC" w:rsidP="001143AC">
            <w:pPr>
              <w:spacing w:after="100" w:afterAutospacing="1"/>
              <w:jc w:val="right"/>
              <w:rPr>
                <w:rFonts w:ascii="Tahoma" w:hAnsi="Tahoma" w:cs="Tahoma"/>
                <w:color w:val="000000"/>
                <w:sz w:val="16"/>
                <w:szCs w:val="16"/>
              </w:rPr>
            </w:pPr>
            <w:r>
              <w:rPr>
                <w:rFonts w:ascii="Tahoma" w:hAnsi="Tahoma" w:cs="Tahoma"/>
                <w:color w:val="000000"/>
                <w:sz w:val="16"/>
                <w:szCs w:val="16"/>
              </w:rPr>
              <w:t>774.8</w:t>
            </w:r>
          </w:p>
        </w:tc>
        <w:tc>
          <w:tcPr>
            <w:tcW w:w="1559" w:type="dxa"/>
            <w:tcBorders>
              <w:top w:val="nil"/>
              <w:left w:val="nil"/>
              <w:bottom w:val="single" w:sz="4" w:space="0" w:color="auto"/>
              <w:right w:val="single" w:sz="4" w:space="0" w:color="auto"/>
            </w:tcBorders>
            <w:shd w:val="clear" w:color="auto" w:fill="auto"/>
            <w:noWrap/>
            <w:vAlign w:val="bottom"/>
            <w:hideMark/>
          </w:tcPr>
          <w:p w:rsidR="001143AC" w:rsidRDefault="001143AC" w:rsidP="001143AC">
            <w:pPr>
              <w:spacing w:after="100" w:afterAutospacing="1"/>
              <w:jc w:val="right"/>
              <w:rPr>
                <w:rFonts w:ascii="Tahoma" w:hAnsi="Tahoma" w:cs="Tahoma"/>
                <w:color w:val="000000"/>
                <w:sz w:val="16"/>
                <w:szCs w:val="16"/>
              </w:rPr>
            </w:pPr>
            <w:r>
              <w:rPr>
                <w:rFonts w:ascii="Tahoma" w:hAnsi="Tahoma" w:cs="Tahoma"/>
                <w:color w:val="000000"/>
                <w:sz w:val="16"/>
                <w:szCs w:val="16"/>
              </w:rPr>
              <w:t>2411.9</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1143AC"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1143AC" w:rsidRDefault="001143AC" w:rsidP="001143AC">
            <w:pPr>
              <w:spacing w:after="100" w:afterAutospacing="1"/>
              <w:rPr>
                <w:rFonts w:ascii="Tahoma" w:hAnsi="Tahoma" w:cs="Tahoma"/>
                <w:color w:val="000000"/>
                <w:sz w:val="16"/>
                <w:szCs w:val="16"/>
              </w:rPr>
            </w:pPr>
            <w:r>
              <w:rPr>
                <w:rFonts w:ascii="Tahoma" w:hAnsi="Tahoma" w:cs="Tahoma"/>
                <w:color w:val="000000"/>
                <w:sz w:val="16"/>
                <w:szCs w:val="16"/>
              </w:rPr>
              <w:t>Northamptonshire</w:t>
            </w:r>
          </w:p>
        </w:tc>
        <w:tc>
          <w:tcPr>
            <w:tcW w:w="1843" w:type="dxa"/>
            <w:tcBorders>
              <w:top w:val="nil"/>
              <w:left w:val="nil"/>
              <w:bottom w:val="single" w:sz="4" w:space="0" w:color="auto"/>
              <w:right w:val="single" w:sz="4" w:space="0" w:color="auto"/>
            </w:tcBorders>
            <w:shd w:val="clear" w:color="auto" w:fill="auto"/>
            <w:noWrap/>
            <w:vAlign w:val="bottom"/>
            <w:hideMark/>
          </w:tcPr>
          <w:p w:rsidR="001143AC" w:rsidRDefault="001143AC" w:rsidP="001143AC">
            <w:pPr>
              <w:spacing w:after="100" w:afterAutospacing="1"/>
              <w:jc w:val="right"/>
              <w:rPr>
                <w:rFonts w:ascii="Tahoma" w:hAnsi="Tahoma" w:cs="Tahoma"/>
                <w:color w:val="000000"/>
                <w:sz w:val="16"/>
                <w:szCs w:val="16"/>
              </w:rPr>
            </w:pPr>
            <w:r>
              <w:rPr>
                <w:rFonts w:ascii="Tahoma" w:hAnsi="Tahoma" w:cs="Tahoma"/>
                <w:color w:val="000000"/>
                <w:sz w:val="16"/>
                <w:szCs w:val="16"/>
              </w:rPr>
              <w:t>139.31</w:t>
            </w:r>
          </w:p>
        </w:tc>
        <w:tc>
          <w:tcPr>
            <w:tcW w:w="1984" w:type="dxa"/>
            <w:tcBorders>
              <w:top w:val="nil"/>
              <w:left w:val="nil"/>
              <w:bottom w:val="single" w:sz="4" w:space="0" w:color="auto"/>
              <w:right w:val="single" w:sz="4" w:space="0" w:color="auto"/>
            </w:tcBorders>
            <w:shd w:val="clear" w:color="auto" w:fill="auto"/>
            <w:noWrap/>
            <w:vAlign w:val="bottom"/>
            <w:hideMark/>
          </w:tcPr>
          <w:p w:rsidR="001143AC" w:rsidRDefault="001143AC" w:rsidP="001143AC">
            <w:pPr>
              <w:spacing w:after="100" w:afterAutospacing="1"/>
              <w:jc w:val="right"/>
              <w:rPr>
                <w:rFonts w:ascii="Tahoma" w:hAnsi="Tahoma" w:cs="Tahoma"/>
                <w:color w:val="000000"/>
                <w:sz w:val="16"/>
                <w:szCs w:val="16"/>
              </w:rPr>
            </w:pPr>
            <w:r>
              <w:rPr>
                <w:rFonts w:ascii="Tahoma" w:hAnsi="Tahoma" w:cs="Tahoma"/>
                <w:color w:val="000000"/>
                <w:sz w:val="16"/>
                <w:szCs w:val="16"/>
              </w:rPr>
              <w:t>315.22</w:t>
            </w:r>
          </w:p>
        </w:tc>
        <w:tc>
          <w:tcPr>
            <w:tcW w:w="1843" w:type="dxa"/>
            <w:tcBorders>
              <w:top w:val="nil"/>
              <w:left w:val="nil"/>
              <w:bottom w:val="single" w:sz="4" w:space="0" w:color="auto"/>
              <w:right w:val="single" w:sz="4" w:space="0" w:color="auto"/>
            </w:tcBorders>
            <w:shd w:val="clear" w:color="auto" w:fill="auto"/>
            <w:noWrap/>
            <w:vAlign w:val="bottom"/>
            <w:hideMark/>
          </w:tcPr>
          <w:p w:rsidR="001143AC" w:rsidRDefault="001143AC" w:rsidP="001143AC">
            <w:pPr>
              <w:spacing w:after="100" w:afterAutospacing="1"/>
              <w:jc w:val="right"/>
              <w:rPr>
                <w:rFonts w:ascii="Tahoma" w:hAnsi="Tahoma" w:cs="Tahoma"/>
                <w:color w:val="000000"/>
                <w:sz w:val="16"/>
                <w:szCs w:val="16"/>
              </w:rPr>
            </w:pPr>
            <w:r>
              <w:rPr>
                <w:rFonts w:ascii="Tahoma" w:hAnsi="Tahoma" w:cs="Tahoma"/>
                <w:color w:val="000000"/>
                <w:sz w:val="16"/>
                <w:szCs w:val="16"/>
              </w:rPr>
              <w:t>2411.9</w:t>
            </w:r>
          </w:p>
        </w:tc>
        <w:tc>
          <w:tcPr>
            <w:tcW w:w="1701" w:type="dxa"/>
            <w:tcBorders>
              <w:top w:val="nil"/>
              <w:left w:val="nil"/>
              <w:bottom w:val="single" w:sz="4" w:space="0" w:color="auto"/>
              <w:right w:val="single" w:sz="4" w:space="0" w:color="auto"/>
            </w:tcBorders>
            <w:shd w:val="clear" w:color="auto" w:fill="auto"/>
            <w:noWrap/>
            <w:vAlign w:val="bottom"/>
            <w:hideMark/>
          </w:tcPr>
          <w:p w:rsidR="001143AC" w:rsidRDefault="001143AC" w:rsidP="001143AC">
            <w:pPr>
              <w:spacing w:after="100" w:afterAutospacing="1"/>
              <w:jc w:val="right"/>
              <w:rPr>
                <w:rFonts w:ascii="Tahoma" w:hAnsi="Tahoma" w:cs="Tahoma"/>
                <w:color w:val="000000"/>
                <w:sz w:val="16"/>
                <w:szCs w:val="16"/>
              </w:rPr>
            </w:pPr>
            <w:r>
              <w:rPr>
                <w:rFonts w:ascii="Tahoma" w:hAnsi="Tahoma" w:cs="Tahoma"/>
                <w:color w:val="000000"/>
                <w:sz w:val="16"/>
                <w:szCs w:val="16"/>
              </w:rPr>
              <w:t>2866.4</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1143AC" w:rsidRPr="009500DD" w:rsidTr="001143AC">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3AC" w:rsidRDefault="001143AC" w:rsidP="001143AC">
            <w:pPr>
              <w:spacing w:after="100" w:afterAutospacing="1"/>
              <w:rPr>
                <w:rFonts w:ascii="Calibri" w:hAnsi="Calibri" w:cs="Calibri"/>
                <w:color w:val="000000"/>
              </w:rPr>
            </w:pPr>
            <w:r>
              <w:rPr>
                <w:rFonts w:ascii="Calibri" w:hAnsi="Calibri" w:cs="Calibri"/>
                <w:color w:val="000000"/>
              </w:rPr>
              <w:t>Road length of principal roads in Northamptonshire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1143AC" w:rsidRDefault="001143AC" w:rsidP="001143AC">
            <w:pPr>
              <w:spacing w:after="100" w:afterAutospacing="1"/>
              <w:rPr>
                <w:rFonts w:ascii="Calibri" w:hAnsi="Calibri" w:cs="Calibri"/>
                <w:color w:val="000000"/>
              </w:rPr>
            </w:pPr>
            <w:r>
              <w:rPr>
                <w:rFonts w:ascii="Calibri" w:hAnsi="Calibri" w:cs="Calibri"/>
                <w:color w:val="000000"/>
              </w:rPr>
              <w:t>9.5miles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1143AC" w:rsidRPr="009500DD" w:rsidTr="001143AC">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3AC" w:rsidRDefault="001143AC" w:rsidP="001143AC">
            <w:pPr>
              <w:spacing w:after="100" w:afterAutospacing="1"/>
              <w:rPr>
                <w:rFonts w:ascii="Calibri" w:hAnsi="Calibri" w:cs="Calibri"/>
                <w:color w:val="000000"/>
              </w:rPr>
            </w:pPr>
            <w:r>
              <w:rPr>
                <w:rFonts w:ascii="Calibri" w:hAnsi="Calibri" w:cs="Calibri"/>
                <w:color w:val="000000"/>
              </w:rPr>
              <w:t>Road length of non-principal roads in Northamptonshire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1143AC" w:rsidRDefault="001143AC" w:rsidP="001143AC">
            <w:pPr>
              <w:spacing w:after="100" w:afterAutospacing="1"/>
              <w:rPr>
                <w:rFonts w:ascii="Calibri" w:hAnsi="Calibri" w:cs="Calibri"/>
                <w:color w:val="000000"/>
              </w:rPr>
            </w:pPr>
            <w:r>
              <w:rPr>
                <w:rFonts w:ascii="Calibri" w:hAnsi="Calibri" w:cs="Calibri"/>
                <w:color w:val="000000"/>
              </w:rPr>
              <w:t>145miles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158B1"/>
    <w:rsid w:val="00023D6D"/>
    <w:rsid w:val="00034AE0"/>
    <w:rsid w:val="0004365F"/>
    <w:rsid w:val="00046FC3"/>
    <w:rsid w:val="00054C2A"/>
    <w:rsid w:val="00057D91"/>
    <w:rsid w:val="00061590"/>
    <w:rsid w:val="00075447"/>
    <w:rsid w:val="00077094"/>
    <w:rsid w:val="000A253B"/>
    <w:rsid w:val="000A31A2"/>
    <w:rsid w:val="000B3BB2"/>
    <w:rsid w:val="000B410A"/>
    <w:rsid w:val="000D1137"/>
    <w:rsid w:val="000D7426"/>
    <w:rsid w:val="000E0225"/>
    <w:rsid w:val="000E6E0C"/>
    <w:rsid w:val="00111193"/>
    <w:rsid w:val="001143AC"/>
    <w:rsid w:val="001157F0"/>
    <w:rsid w:val="00123766"/>
    <w:rsid w:val="00136993"/>
    <w:rsid w:val="00137983"/>
    <w:rsid w:val="001458E3"/>
    <w:rsid w:val="00153631"/>
    <w:rsid w:val="00154234"/>
    <w:rsid w:val="00162CA7"/>
    <w:rsid w:val="00163203"/>
    <w:rsid w:val="00163DF2"/>
    <w:rsid w:val="00171D21"/>
    <w:rsid w:val="001779A1"/>
    <w:rsid w:val="00182EBD"/>
    <w:rsid w:val="00190253"/>
    <w:rsid w:val="001977B6"/>
    <w:rsid w:val="001B2B01"/>
    <w:rsid w:val="001C52DE"/>
    <w:rsid w:val="001D6CB6"/>
    <w:rsid w:val="001E09A4"/>
    <w:rsid w:val="001E7C97"/>
    <w:rsid w:val="001F4A28"/>
    <w:rsid w:val="00212307"/>
    <w:rsid w:val="00214346"/>
    <w:rsid w:val="0021628D"/>
    <w:rsid w:val="002211F3"/>
    <w:rsid w:val="00230193"/>
    <w:rsid w:val="00230CF6"/>
    <w:rsid w:val="002348E6"/>
    <w:rsid w:val="002408BD"/>
    <w:rsid w:val="00246E3A"/>
    <w:rsid w:val="00256D31"/>
    <w:rsid w:val="00257FBA"/>
    <w:rsid w:val="002651E1"/>
    <w:rsid w:val="00274ED9"/>
    <w:rsid w:val="002B39D0"/>
    <w:rsid w:val="002C13E8"/>
    <w:rsid w:val="002C6BB4"/>
    <w:rsid w:val="002D62CB"/>
    <w:rsid w:val="0032648E"/>
    <w:rsid w:val="00326C5A"/>
    <w:rsid w:val="0033684A"/>
    <w:rsid w:val="00340480"/>
    <w:rsid w:val="00340CF5"/>
    <w:rsid w:val="003501F6"/>
    <w:rsid w:val="00357E6D"/>
    <w:rsid w:val="00360FD9"/>
    <w:rsid w:val="00377466"/>
    <w:rsid w:val="00377F1F"/>
    <w:rsid w:val="00381326"/>
    <w:rsid w:val="003815DA"/>
    <w:rsid w:val="00383CA1"/>
    <w:rsid w:val="003878B8"/>
    <w:rsid w:val="003A18D3"/>
    <w:rsid w:val="003B5117"/>
    <w:rsid w:val="003C1462"/>
    <w:rsid w:val="003C40D8"/>
    <w:rsid w:val="003C7651"/>
    <w:rsid w:val="003D7517"/>
    <w:rsid w:val="003E0AA8"/>
    <w:rsid w:val="003E7C4A"/>
    <w:rsid w:val="004033DF"/>
    <w:rsid w:val="00415E18"/>
    <w:rsid w:val="00417448"/>
    <w:rsid w:val="00424320"/>
    <w:rsid w:val="00427EEE"/>
    <w:rsid w:val="00443081"/>
    <w:rsid w:val="00445CF6"/>
    <w:rsid w:val="00451FF7"/>
    <w:rsid w:val="004623CF"/>
    <w:rsid w:val="00465750"/>
    <w:rsid w:val="0046620E"/>
    <w:rsid w:val="00475274"/>
    <w:rsid w:val="004972B9"/>
    <w:rsid w:val="004A1C29"/>
    <w:rsid w:val="004A44E1"/>
    <w:rsid w:val="004A470C"/>
    <w:rsid w:val="004B4BE1"/>
    <w:rsid w:val="004C095C"/>
    <w:rsid w:val="004C2A1C"/>
    <w:rsid w:val="004D3814"/>
    <w:rsid w:val="004E747D"/>
    <w:rsid w:val="00500FD5"/>
    <w:rsid w:val="00506AD4"/>
    <w:rsid w:val="00513C6F"/>
    <w:rsid w:val="00517C92"/>
    <w:rsid w:val="00517E78"/>
    <w:rsid w:val="0052568F"/>
    <w:rsid w:val="00545A25"/>
    <w:rsid w:val="0054613A"/>
    <w:rsid w:val="00555F9F"/>
    <w:rsid w:val="00557B7F"/>
    <w:rsid w:val="0057388A"/>
    <w:rsid w:val="00575E1E"/>
    <w:rsid w:val="00587D4E"/>
    <w:rsid w:val="005947D7"/>
    <w:rsid w:val="00595B2F"/>
    <w:rsid w:val="005B3FA2"/>
    <w:rsid w:val="005C095A"/>
    <w:rsid w:val="005C33B2"/>
    <w:rsid w:val="005D01AA"/>
    <w:rsid w:val="00600EBE"/>
    <w:rsid w:val="00602484"/>
    <w:rsid w:val="00604F05"/>
    <w:rsid w:val="0060780B"/>
    <w:rsid w:val="00614B35"/>
    <w:rsid w:val="00616D21"/>
    <w:rsid w:val="006245BC"/>
    <w:rsid w:val="00630C41"/>
    <w:rsid w:val="006464CF"/>
    <w:rsid w:val="0065405D"/>
    <w:rsid w:val="00665AAB"/>
    <w:rsid w:val="00672976"/>
    <w:rsid w:val="00675025"/>
    <w:rsid w:val="00680CB9"/>
    <w:rsid w:val="0068362E"/>
    <w:rsid w:val="00692E85"/>
    <w:rsid w:val="006931D7"/>
    <w:rsid w:val="006A3967"/>
    <w:rsid w:val="006A58A6"/>
    <w:rsid w:val="006C5ECC"/>
    <w:rsid w:val="006D6ACA"/>
    <w:rsid w:val="006D6F09"/>
    <w:rsid w:val="006E0A15"/>
    <w:rsid w:val="006E1F1B"/>
    <w:rsid w:val="006F2C9A"/>
    <w:rsid w:val="006F4FD3"/>
    <w:rsid w:val="006F75BA"/>
    <w:rsid w:val="006F7BE0"/>
    <w:rsid w:val="0070182B"/>
    <w:rsid w:val="00707CEB"/>
    <w:rsid w:val="00715D9D"/>
    <w:rsid w:val="00727708"/>
    <w:rsid w:val="007404AB"/>
    <w:rsid w:val="0075601D"/>
    <w:rsid w:val="00765529"/>
    <w:rsid w:val="007669F4"/>
    <w:rsid w:val="00784950"/>
    <w:rsid w:val="00786635"/>
    <w:rsid w:val="007B5629"/>
    <w:rsid w:val="007C052F"/>
    <w:rsid w:val="007D3509"/>
    <w:rsid w:val="007D4BF5"/>
    <w:rsid w:val="007E0505"/>
    <w:rsid w:val="007E65D3"/>
    <w:rsid w:val="007F5F54"/>
    <w:rsid w:val="007F66C5"/>
    <w:rsid w:val="007F7192"/>
    <w:rsid w:val="008211F5"/>
    <w:rsid w:val="00825F2D"/>
    <w:rsid w:val="00826B10"/>
    <w:rsid w:val="0083304D"/>
    <w:rsid w:val="00843934"/>
    <w:rsid w:val="00855650"/>
    <w:rsid w:val="008576ED"/>
    <w:rsid w:val="008615B3"/>
    <w:rsid w:val="00863A32"/>
    <w:rsid w:val="0086703C"/>
    <w:rsid w:val="00867BF8"/>
    <w:rsid w:val="008774CA"/>
    <w:rsid w:val="00884EF2"/>
    <w:rsid w:val="00886701"/>
    <w:rsid w:val="00886FEC"/>
    <w:rsid w:val="00890675"/>
    <w:rsid w:val="008A1121"/>
    <w:rsid w:val="008B21E0"/>
    <w:rsid w:val="008C071D"/>
    <w:rsid w:val="008C78B5"/>
    <w:rsid w:val="008D1139"/>
    <w:rsid w:val="008D66C0"/>
    <w:rsid w:val="008F3CBB"/>
    <w:rsid w:val="008F6D0B"/>
    <w:rsid w:val="00912EBB"/>
    <w:rsid w:val="00926DC5"/>
    <w:rsid w:val="009500DD"/>
    <w:rsid w:val="009504FF"/>
    <w:rsid w:val="009528EC"/>
    <w:rsid w:val="00952B99"/>
    <w:rsid w:val="009576E7"/>
    <w:rsid w:val="009579D3"/>
    <w:rsid w:val="009676E3"/>
    <w:rsid w:val="009867B6"/>
    <w:rsid w:val="009902B8"/>
    <w:rsid w:val="00991510"/>
    <w:rsid w:val="009B0857"/>
    <w:rsid w:val="009B632B"/>
    <w:rsid w:val="009B687B"/>
    <w:rsid w:val="009C4491"/>
    <w:rsid w:val="009D5C2F"/>
    <w:rsid w:val="009E5806"/>
    <w:rsid w:val="00A02536"/>
    <w:rsid w:val="00A16075"/>
    <w:rsid w:val="00A3620F"/>
    <w:rsid w:val="00A3775B"/>
    <w:rsid w:val="00A44C1F"/>
    <w:rsid w:val="00A504D8"/>
    <w:rsid w:val="00A55118"/>
    <w:rsid w:val="00A567A9"/>
    <w:rsid w:val="00A57F92"/>
    <w:rsid w:val="00A61248"/>
    <w:rsid w:val="00A67FA7"/>
    <w:rsid w:val="00A75DA5"/>
    <w:rsid w:val="00A8038C"/>
    <w:rsid w:val="00AA1C54"/>
    <w:rsid w:val="00AA4EAF"/>
    <w:rsid w:val="00AB2003"/>
    <w:rsid w:val="00AC18BA"/>
    <w:rsid w:val="00AE3362"/>
    <w:rsid w:val="00AF0048"/>
    <w:rsid w:val="00B4609A"/>
    <w:rsid w:val="00B66EC4"/>
    <w:rsid w:val="00B71733"/>
    <w:rsid w:val="00B82315"/>
    <w:rsid w:val="00B84331"/>
    <w:rsid w:val="00B967F2"/>
    <w:rsid w:val="00BA5521"/>
    <w:rsid w:val="00BB01EE"/>
    <w:rsid w:val="00BD2351"/>
    <w:rsid w:val="00BE0C65"/>
    <w:rsid w:val="00BE32D1"/>
    <w:rsid w:val="00BE3B1E"/>
    <w:rsid w:val="00BE4633"/>
    <w:rsid w:val="00BF0BE9"/>
    <w:rsid w:val="00BF44B3"/>
    <w:rsid w:val="00C027BE"/>
    <w:rsid w:val="00C07765"/>
    <w:rsid w:val="00C13421"/>
    <w:rsid w:val="00C26302"/>
    <w:rsid w:val="00C27833"/>
    <w:rsid w:val="00C33EE4"/>
    <w:rsid w:val="00C345EF"/>
    <w:rsid w:val="00C427E1"/>
    <w:rsid w:val="00C43302"/>
    <w:rsid w:val="00C60E60"/>
    <w:rsid w:val="00C612EB"/>
    <w:rsid w:val="00C62E3C"/>
    <w:rsid w:val="00C63A68"/>
    <w:rsid w:val="00C66719"/>
    <w:rsid w:val="00C85FB2"/>
    <w:rsid w:val="00CA0B05"/>
    <w:rsid w:val="00CB452F"/>
    <w:rsid w:val="00CB4C8D"/>
    <w:rsid w:val="00CD17F8"/>
    <w:rsid w:val="00CF7E07"/>
    <w:rsid w:val="00D1146E"/>
    <w:rsid w:val="00D170C3"/>
    <w:rsid w:val="00D252DA"/>
    <w:rsid w:val="00D31FBD"/>
    <w:rsid w:val="00D32C9E"/>
    <w:rsid w:val="00D34678"/>
    <w:rsid w:val="00D3717A"/>
    <w:rsid w:val="00D51F64"/>
    <w:rsid w:val="00D60E26"/>
    <w:rsid w:val="00D61059"/>
    <w:rsid w:val="00D625BB"/>
    <w:rsid w:val="00D711F4"/>
    <w:rsid w:val="00D72DD5"/>
    <w:rsid w:val="00D75666"/>
    <w:rsid w:val="00D83E34"/>
    <w:rsid w:val="00D85C8C"/>
    <w:rsid w:val="00D86CE5"/>
    <w:rsid w:val="00D9047C"/>
    <w:rsid w:val="00DA24E3"/>
    <w:rsid w:val="00DA2FFE"/>
    <w:rsid w:val="00DA3CE6"/>
    <w:rsid w:val="00DB0C84"/>
    <w:rsid w:val="00DB6ED2"/>
    <w:rsid w:val="00DC21A8"/>
    <w:rsid w:val="00DD0F1F"/>
    <w:rsid w:val="00DE1D53"/>
    <w:rsid w:val="00DE28F6"/>
    <w:rsid w:val="00DE69DB"/>
    <w:rsid w:val="00DF55FA"/>
    <w:rsid w:val="00E06E00"/>
    <w:rsid w:val="00E07698"/>
    <w:rsid w:val="00E12E73"/>
    <w:rsid w:val="00E17957"/>
    <w:rsid w:val="00E21DB6"/>
    <w:rsid w:val="00E24A9C"/>
    <w:rsid w:val="00E30696"/>
    <w:rsid w:val="00E33D6C"/>
    <w:rsid w:val="00E43E31"/>
    <w:rsid w:val="00E51B66"/>
    <w:rsid w:val="00E57E59"/>
    <w:rsid w:val="00E60537"/>
    <w:rsid w:val="00E7007C"/>
    <w:rsid w:val="00E81122"/>
    <w:rsid w:val="00E83BB5"/>
    <w:rsid w:val="00E866F7"/>
    <w:rsid w:val="00EA3A6C"/>
    <w:rsid w:val="00EB236D"/>
    <w:rsid w:val="00EB5237"/>
    <w:rsid w:val="00EB6055"/>
    <w:rsid w:val="00EC3808"/>
    <w:rsid w:val="00ED52B1"/>
    <w:rsid w:val="00EE29BA"/>
    <w:rsid w:val="00EE339D"/>
    <w:rsid w:val="00EE7458"/>
    <w:rsid w:val="00EF556D"/>
    <w:rsid w:val="00EF5EFE"/>
    <w:rsid w:val="00EF6F56"/>
    <w:rsid w:val="00F06E52"/>
    <w:rsid w:val="00F1166F"/>
    <w:rsid w:val="00F3443F"/>
    <w:rsid w:val="00F37401"/>
    <w:rsid w:val="00F60EE2"/>
    <w:rsid w:val="00F6181E"/>
    <w:rsid w:val="00F624C0"/>
    <w:rsid w:val="00F7542E"/>
    <w:rsid w:val="00F8009A"/>
    <w:rsid w:val="00F93AE4"/>
    <w:rsid w:val="00FA341B"/>
    <w:rsid w:val="00FA49E0"/>
    <w:rsid w:val="00FA7924"/>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East Northamptonshire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15.1428770990583</c:v>
                </c:pt>
                <c:pt idx="1">
                  <c:v>18.281016855969657</c:v>
                </c:pt>
                <c:pt idx="2">
                  <c:v>23.223750874584361</c:v>
                </c:pt>
              </c:numCache>
            </c:numRef>
          </c:val>
        </c:ser>
        <c:marker val="1"/>
        <c:axId val="160492544"/>
        <c:axId val="160523008"/>
      </c:lineChart>
      <c:catAx>
        <c:axId val="160492544"/>
        <c:scaling>
          <c:orientation val="minMax"/>
        </c:scaling>
        <c:axPos val="b"/>
        <c:numFmt formatCode="General" sourceLinked="1"/>
        <c:tickLblPos val="nextTo"/>
        <c:crossAx val="160523008"/>
        <c:crosses val="autoZero"/>
        <c:auto val="1"/>
        <c:lblAlgn val="ctr"/>
        <c:lblOffset val="100"/>
      </c:catAx>
      <c:valAx>
        <c:axId val="1605230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492544"/>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East Northamptonshire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10.847213657133498</c:v>
                </c:pt>
                <c:pt idx="1">
                  <c:v>11.562295593841412</c:v>
                </c:pt>
                <c:pt idx="2">
                  <c:v>12.002289887569622</c:v>
                </c:pt>
              </c:numCache>
            </c:numRef>
          </c:val>
        </c:ser>
        <c:marker val="1"/>
        <c:axId val="161434240"/>
        <c:axId val="161460608"/>
      </c:lineChart>
      <c:catAx>
        <c:axId val="161434240"/>
        <c:scaling>
          <c:orientation val="minMax"/>
        </c:scaling>
        <c:axPos val="b"/>
        <c:numFmt formatCode="General" sourceLinked="1"/>
        <c:tickLblPos val="nextTo"/>
        <c:crossAx val="161460608"/>
        <c:crosses val="autoZero"/>
        <c:auto val="1"/>
        <c:lblAlgn val="ctr"/>
        <c:lblOffset val="100"/>
      </c:catAx>
      <c:valAx>
        <c:axId val="1614606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434240"/>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East Northamptonshire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7.3117747176233996</c:v>
                </c:pt>
                <c:pt idx="1">
                  <c:v>7.1289092295957204</c:v>
                </c:pt>
                <c:pt idx="2">
                  <c:v>7.0337147215865796</c:v>
                </c:pt>
              </c:numCache>
            </c:numRef>
          </c:val>
        </c:ser>
        <c:axId val="161557504"/>
        <c:axId val="161567488"/>
      </c:barChart>
      <c:catAx>
        <c:axId val="161557504"/>
        <c:scaling>
          <c:orientation val="minMax"/>
        </c:scaling>
        <c:axPos val="b"/>
        <c:numFmt formatCode="General" sourceLinked="1"/>
        <c:tickLblPos val="nextTo"/>
        <c:crossAx val="161567488"/>
        <c:crosses val="autoZero"/>
        <c:auto val="1"/>
        <c:lblAlgn val="ctr"/>
        <c:lblOffset val="100"/>
      </c:catAx>
      <c:valAx>
        <c:axId val="161567488"/>
        <c:scaling>
          <c:orientation val="minMax"/>
        </c:scaling>
        <c:axPos val="l"/>
        <c:majorGridlines/>
        <c:numFmt formatCode="General" sourceLinked="1"/>
        <c:tickLblPos val="nextTo"/>
        <c:txPr>
          <a:bodyPr/>
          <a:lstStyle/>
          <a:p>
            <a:pPr>
              <a:defRPr sz="800"/>
            </a:pPr>
            <a:endParaRPr lang="en-US"/>
          </a:p>
        </c:txPr>
        <c:crossAx val="161557504"/>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East Northamptonshire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9.2404919914969987</c:v>
                </c:pt>
                <c:pt idx="1">
                  <c:v>9.1779735712594519</c:v>
                </c:pt>
                <c:pt idx="2">
                  <c:v>9.2477923965097126</c:v>
                </c:pt>
              </c:numCache>
            </c:numRef>
          </c:val>
        </c:ser>
        <c:marker val="1"/>
        <c:axId val="161590272"/>
        <c:axId val="161485568"/>
      </c:lineChart>
      <c:catAx>
        <c:axId val="161590272"/>
        <c:scaling>
          <c:orientation val="minMax"/>
        </c:scaling>
        <c:axPos val="b"/>
        <c:numFmt formatCode="General" sourceLinked="1"/>
        <c:tickLblPos val="nextTo"/>
        <c:crossAx val="161485568"/>
        <c:crosses val="autoZero"/>
        <c:auto val="1"/>
        <c:lblAlgn val="ctr"/>
        <c:lblOffset val="100"/>
      </c:catAx>
      <c:valAx>
        <c:axId val="1614855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590272"/>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East Northamptonshire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7.7824539687451555</c:v>
                </c:pt>
                <c:pt idx="1">
                  <c:v>7.8808543096872521</c:v>
                </c:pt>
                <c:pt idx="2">
                  <c:v>7.8864988558352396</c:v>
                </c:pt>
              </c:numCache>
            </c:numRef>
          </c:val>
        </c:ser>
        <c:axId val="161521024"/>
        <c:axId val="161526912"/>
      </c:barChart>
      <c:catAx>
        <c:axId val="161521024"/>
        <c:scaling>
          <c:orientation val="minMax"/>
        </c:scaling>
        <c:axPos val="b"/>
        <c:numFmt formatCode="General" sourceLinked="1"/>
        <c:tickLblPos val="nextTo"/>
        <c:crossAx val="161526912"/>
        <c:crosses val="autoZero"/>
        <c:auto val="1"/>
        <c:lblAlgn val="ctr"/>
        <c:lblOffset val="100"/>
      </c:catAx>
      <c:valAx>
        <c:axId val="161526912"/>
        <c:scaling>
          <c:orientation val="minMax"/>
        </c:scaling>
        <c:axPos val="l"/>
        <c:majorGridlines/>
        <c:numFmt formatCode="General" sourceLinked="1"/>
        <c:tickLblPos val="nextTo"/>
        <c:txPr>
          <a:bodyPr/>
          <a:lstStyle/>
          <a:p>
            <a:pPr>
              <a:defRPr sz="800"/>
            </a:pPr>
            <a:endParaRPr lang="en-US"/>
          </a:p>
        </c:txPr>
        <c:crossAx val="161521024"/>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East Northamptonshire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7.5993369255078402</c:v>
                </c:pt>
                <c:pt idx="1">
                  <c:v>7.5876230695518503</c:v>
                </c:pt>
                <c:pt idx="2">
                  <c:v>7.6693216640613997</c:v>
                </c:pt>
              </c:numCache>
            </c:numRef>
          </c:val>
        </c:ser>
        <c:marker val="1"/>
        <c:axId val="161619328"/>
        <c:axId val="161633408"/>
      </c:lineChart>
      <c:catAx>
        <c:axId val="161619328"/>
        <c:scaling>
          <c:orientation val="minMax"/>
        </c:scaling>
        <c:axPos val="b"/>
        <c:numFmt formatCode="General" sourceLinked="1"/>
        <c:tickLblPos val="nextTo"/>
        <c:crossAx val="161633408"/>
        <c:crosses val="autoZero"/>
        <c:auto val="1"/>
        <c:lblAlgn val="ctr"/>
        <c:lblOffset val="100"/>
      </c:catAx>
      <c:valAx>
        <c:axId val="1616334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19328"/>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East Northamptonshire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61669120"/>
        <c:axId val="161670656"/>
      </c:barChart>
      <c:catAx>
        <c:axId val="161669120"/>
        <c:scaling>
          <c:orientation val="minMax"/>
        </c:scaling>
        <c:axPos val="b"/>
        <c:numFmt formatCode="General" sourceLinked="1"/>
        <c:tickLblPos val="nextTo"/>
        <c:crossAx val="161670656"/>
        <c:crosses val="autoZero"/>
        <c:auto val="1"/>
        <c:lblAlgn val="ctr"/>
        <c:lblOffset val="100"/>
      </c:catAx>
      <c:valAx>
        <c:axId val="161670656"/>
        <c:scaling>
          <c:orientation val="minMax"/>
        </c:scaling>
        <c:axPos val="l"/>
        <c:majorGridlines/>
        <c:numFmt formatCode="General" sourceLinked="1"/>
        <c:tickLblPos val="nextTo"/>
        <c:txPr>
          <a:bodyPr/>
          <a:lstStyle/>
          <a:p>
            <a:pPr>
              <a:defRPr sz="800"/>
            </a:pPr>
            <a:endParaRPr lang="en-US"/>
          </a:p>
        </c:txPr>
        <c:crossAx val="161669120"/>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East Northamptonshire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21.762173669667689</c:v>
                </c:pt>
                <c:pt idx="1">
                  <c:v>29.743902333283778</c:v>
                </c:pt>
                <c:pt idx="2">
                  <c:v>29.997383996832699</c:v>
                </c:pt>
              </c:numCache>
            </c:numRef>
          </c:val>
        </c:ser>
        <c:marker val="1"/>
        <c:axId val="161726464"/>
        <c:axId val="161728000"/>
      </c:lineChart>
      <c:catAx>
        <c:axId val="161726464"/>
        <c:scaling>
          <c:orientation val="minMax"/>
        </c:scaling>
        <c:axPos val="b"/>
        <c:numFmt formatCode="General" sourceLinked="1"/>
        <c:tickLblPos val="nextTo"/>
        <c:crossAx val="161728000"/>
        <c:crosses val="autoZero"/>
        <c:auto val="1"/>
        <c:lblAlgn val="ctr"/>
        <c:lblOffset val="100"/>
      </c:catAx>
      <c:valAx>
        <c:axId val="1617280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726464"/>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East Northamptonshire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1.79664345652562</c:v>
                </c:pt>
                <c:pt idx="1">
                  <c:v>1.5584601611459301</c:v>
                </c:pt>
                <c:pt idx="2">
                  <c:v>1.5726051924798599</c:v>
                </c:pt>
              </c:numCache>
            </c:numRef>
          </c:val>
        </c:ser>
        <c:axId val="161845248"/>
        <c:axId val="161846784"/>
      </c:barChart>
      <c:catAx>
        <c:axId val="161845248"/>
        <c:scaling>
          <c:orientation val="minMax"/>
        </c:scaling>
        <c:axPos val="b"/>
        <c:numFmt formatCode="General" sourceLinked="1"/>
        <c:tickLblPos val="nextTo"/>
        <c:crossAx val="161846784"/>
        <c:crosses val="autoZero"/>
        <c:auto val="1"/>
        <c:lblAlgn val="ctr"/>
        <c:lblOffset val="100"/>
      </c:catAx>
      <c:valAx>
        <c:axId val="161846784"/>
        <c:scaling>
          <c:orientation val="minMax"/>
        </c:scaling>
        <c:axPos val="l"/>
        <c:majorGridlines/>
        <c:numFmt formatCode="General" sourceLinked="1"/>
        <c:tickLblPos val="nextTo"/>
        <c:txPr>
          <a:bodyPr/>
          <a:lstStyle/>
          <a:p>
            <a:pPr>
              <a:defRPr sz="800"/>
            </a:pPr>
            <a:endParaRPr lang="en-US"/>
          </a:p>
        </c:txPr>
        <c:crossAx val="161845248"/>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East Northamptonshire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15.4490295444986</c:v>
                </c:pt>
                <c:pt idx="1">
                  <c:v>18.609478528291021</c:v>
                </c:pt>
                <c:pt idx="2">
                  <c:v>18.636496911939286</c:v>
                </c:pt>
              </c:numCache>
            </c:numRef>
          </c:val>
        </c:ser>
        <c:marker val="1"/>
        <c:axId val="161751040"/>
        <c:axId val="161752576"/>
      </c:lineChart>
      <c:catAx>
        <c:axId val="161751040"/>
        <c:scaling>
          <c:orientation val="minMax"/>
        </c:scaling>
        <c:axPos val="b"/>
        <c:numFmt formatCode="General" sourceLinked="1"/>
        <c:tickLblPos val="nextTo"/>
        <c:crossAx val="161752576"/>
        <c:crosses val="autoZero"/>
        <c:auto val="1"/>
        <c:lblAlgn val="ctr"/>
        <c:lblOffset val="100"/>
      </c:catAx>
      <c:valAx>
        <c:axId val="1617525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751040"/>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East Northamptonshire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1.9994643813604698</c:v>
                </c:pt>
                <c:pt idx="1">
                  <c:v>1.7128021486123499</c:v>
                </c:pt>
                <c:pt idx="2">
                  <c:v>1.7128021486123499</c:v>
                </c:pt>
              </c:numCache>
            </c:numRef>
          </c:val>
        </c:ser>
        <c:axId val="161784192"/>
        <c:axId val="161785728"/>
      </c:barChart>
      <c:catAx>
        <c:axId val="161784192"/>
        <c:scaling>
          <c:orientation val="minMax"/>
        </c:scaling>
        <c:axPos val="b"/>
        <c:numFmt formatCode="General" sourceLinked="1"/>
        <c:tickLblPos val="nextTo"/>
        <c:crossAx val="161785728"/>
        <c:crosses val="autoZero"/>
        <c:auto val="1"/>
        <c:lblAlgn val="ctr"/>
        <c:lblOffset val="100"/>
      </c:catAx>
      <c:valAx>
        <c:axId val="161785728"/>
        <c:scaling>
          <c:orientation val="minMax"/>
        </c:scaling>
        <c:axPos val="l"/>
        <c:majorGridlines/>
        <c:numFmt formatCode="General" sourceLinked="1"/>
        <c:tickLblPos val="nextTo"/>
        <c:txPr>
          <a:bodyPr/>
          <a:lstStyle/>
          <a:p>
            <a:pPr>
              <a:defRPr sz="800"/>
            </a:pPr>
            <a:endParaRPr lang="en-US"/>
          </a:p>
        </c:txPr>
        <c:crossAx val="161784192"/>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East Northamptonshire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11.908415104574299</c:v>
                </c:pt>
                <c:pt idx="1">
                  <c:v>12.252188797730099</c:v>
                </c:pt>
                <c:pt idx="2">
                  <c:v>12.467432051705122</c:v>
                </c:pt>
              </c:numCache>
            </c:numRef>
          </c:val>
        </c:ser>
        <c:marker val="1"/>
        <c:axId val="160550912"/>
        <c:axId val="160552448"/>
      </c:lineChart>
      <c:catAx>
        <c:axId val="160550912"/>
        <c:scaling>
          <c:orientation val="minMax"/>
        </c:scaling>
        <c:axPos val="b"/>
        <c:numFmt formatCode="General" sourceLinked="1"/>
        <c:tickLblPos val="nextTo"/>
        <c:crossAx val="160552448"/>
        <c:crosses val="autoZero"/>
        <c:auto val="1"/>
        <c:lblAlgn val="ctr"/>
        <c:lblOffset val="100"/>
      </c:catAx>
      <c:valAx>
        <c:axId val="1605524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550912"/>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East Northamptonshire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10.924869101615299</c:v>
                </c:pt>
                <c:pt idx="1">
                  <c:v>11.7274353174515</c:v>
                </c:pt>
                <c:pt idx="2">
                  <c:v>12.1894016538117</c:v>
                </c:pt>
              </c:numCache>
            </c:numRef>
          </c:val>
        </c:ser>
        <c:marker val="1"/>
        <c:axId val="161890688"/>
        <c:axId val="161892224"/>
      </c:lineChart>
      <c:catAx>
        <c:axId val="161890688"/>
        <c:scaling>
          <c:orientation val="minMax"/>
        </c:scaling>
        <c:axPos val="b"/>
        <c:numFmt formatCode="General" sourceLinked="1"/>
        <c:tickLblPos val="nextTo"/>
        <c:crossAx val="161892224"/>
        <c:crosses val="autoZero"/>
        <c:auto val="1"/>
        <c:lblAlgn val="ctr"/>
        <c:lblOffset val="100"/>
      </c:catAx>
      <c:valAx>
        <c:axId val="16189222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90688"/>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East Northamptonshire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9.9642920906980894</c:v>
                </c:pt>
                <c:pt idx="1">
                  <c:v>9.8247090420769894</c:v>
                </c:pt>
                <c:pt idx="2">
                  <c:v>9.9230080572963306</c:v>
                </c:pt>
              </c:numCache>
            </c:numRef>
          </c:val>
        </c:ser>
        <c:axId val="161948416"/>
        <c:axId val="161949952"/>
      </c:barChart>
      <c:catAx>
        <c:axId val="161948416"/>
        <c:scaling>
          <c:orientation val="minMax"/>
        </c:scaling>
        <c:axPos val="b"/>
        <c:numFmt formatCode="General" sourceLinked="1"/>
        <c:tickLblPos val="nextTo"/>
        <c:crossAx val="161949952"/>
        <c:crosses val="autoZero"/>
        <c:auto val="1"/>
        <c:lblAlgn val="ctr"/>
        <c:lblOffset val="100"/>
      </c:catAx>
      <c:valAx>
        <c:axId val="161949952"/>
        <c:scaling>
          <c:orientation val="minMax"/>
        </c:scaling>
        <c:axPos val="l"/>
        <c:majorGridlines/>
        <c:numFmt formatCode="General" sourceLinked="1"/>
        <c:tickLblPos val="nextTo"/>
        <c:txPr>
          <a:bodyPr/>
          <a:lstStyle/>
          <a:p>
            <a:pPr>
              <a:defRPr sz="800"/>
            </a:pPr>
            <a:endParaRPr lang="en-US"/>
          </a:p>
        </c:txPr>
        <c:crossAx val="161948416"/>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East Northamptonshire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24.191212569280101</c:v>
                </c:pt>
                <c:pt idx="1">
                  <c:v>29.437292138325489</c:v>
                </c:pt>
                <c:pt idx="2">
                  <c:v>30.092267989086899</c:v>
                </c:pt>
              </c:numCache>
            </c:numRef>
          </c:val>
        </c:ser>
        <c:marker val="1"/>
        <c:axId val="161993472"/>
        <c:axId val="161995008"/>
      </c:lineChart>
      <c:catAx>
        <c:axId val="161993472"/>
        <c:scaling>
          <c:orientation val="minMax"/>
        </c:scaling>
        <c:axPos val="b"/>
        <c:numFmt formatCode="General" sourceLinked="1"/>
        <c:tickLblPos val="nextTo"/>
        <c:crossAx val="161995008"/>
        <c:crosses val="autoZero"/>
        <c:auto val="1"/>
        <c:lblAlgn val="ctr"/>
        <c:lblOffset val="100"/>
      </c:catAx>
      <c:valAx>
        <c:axId val="1619950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993472"/>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East Northamptonshire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1.53705377315861</c:v>
                </c:pt>
                <c:pt idx="1">
                  <c:v>1.5751307115253499</c:v>
                </c:pt>
                <c:pt idx="2">
                  <c:v>1.5596726528756488</c:v>
                </c:pt>
              </c:numCache>
            </c:numRef>
          </c:val>
        </c:ser>
        <c:axId val="162030720"/>
        <c:axId val="162032256"/>
      </c:barChart>
      <c:catAx>
        <c:axId val="162030720"/>
        <c:scaling>
          <c:orientation val="minMax"/>
        </c:scaling>
        <c:axPos val="b"/>
        <c:numFmt formatCode="General" sourceLinked="1"/>
        <c:tickLblPos val="nextTo"/>
        <c:crossAx val="162032256"/>
        <c:crosses val="autoZero"/>
        <c:auto val="1"/>
        <c:lblAlgn val="ctr"/>
        <c:lblOffset val="100"/>
      </c:catAx>
      <c:valAx>
        <c:axId val="162032256"/>
        <c:scaling>
          <c:orientation val="minMax"/>
        </c:scaling>
        <c:axPos val="l"/>
        <c:majorGridlines/>
        <c:numFmt formatCode="General" sourceLinked="1"/>
        <c:tickLblPos val="nextTo"/>
        <c:txPr>
          <a:bodyPr/>
          <a:lstStyle/>
          <a:p>
            <a:pPr>
              <a:defRPr sz="800"/>
            </a:pPr>
            <a:endParaRPr lang="en-US"/>
          </a:p>
        </c:txPr>
        <c:crossAx val="162030720"/>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East Northamptonshire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18.627519808114187</c:v>
                </c:pt>
                <c:pt idx="1">
                  <c:v>18.670007131237</c:v>
                </c:pt>
                <c:pt idx="2">
                  <c:v>18.665774201368077</c:v>
                </c:pt>
              </c:numCache>
            </c:numRef>
          </c:val>
        </c:ser>
        <c:marker val="1"/>
        <c:axId val="162088064"/>
        <c:axId val="162089600"/>
      </c:lineChart>
      <c:catAx>
        <c:axId val="162088064"/>
        <c:scaling>
          <c:orientation val="minMax"/>
        </c:scaling>
        <c:axPos val="b"/>
        <c:numFmt formatCode="General" sourceLinked="1"/>
        <c:tickLblPos val="nextTo"/>
        <c:crossAx val="162089600"/>
        <c:crosses val="autoZero"/>
        <c:auto val="1"/>
        <c:lblAlgn val="ctr"/>
        <c:lblOffset val="100"/>
      </c:catAx>
      <c:valAx>
        <c:axId val="1620896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088064"/>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East Northamptonshire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1.6906913691821099</c:v>
                </c:pt>
                <c:pt idx="1">
                  <c:v>1.6660604682882512</c:v>
                </c:pt>
                <c:pt idx="2">
                  <c:v>1.6778813366674199</c:v>
                </c:pt>
              </c:numCache>
            </c:numRef>
          </c:val>
        </c:ser>
        <c:axId val="162133504"/>
        <c:axId val="162135040"/>
      </c:barChart>
      <c:catAx>
        <c:axId val="162133504"/>
        <c:scaling>
          <c:orientation val="minMax"/>
        </c:scaling>
        <c:axPos val="b"/>
        <c:numFmt formatCode="General" sourceLinked="1"/>
        <c:tickLblPos val="nextTo"/>
        <c:crossAx val="162135040"/>
        <c:crosses val="autoZero"/>
        <c:auto val="1"/>
        <c:lblAlgn val="ctr"/>
        <c:lblOffset val="100"/>
      </c:catAx>
      <c:valAx>
        <c:axId val="162135040"/>
        <c:scaling>
          <c:orientation val="minMax"/>
        </c:scaling>
        <c:axPos val="l"/>
        <c:majorGridlines/>
        <c:numFmt formatCode="General" sourceLinked="1"/>
        <c:tickLblPos val="nextTo"/>
        <c:txPr>
          <a:bodyPr/>
          <a:lstStyle/>
          <a:p>
            <a:pPr>
              <a:defRPr sz="800"/>
            </a:pPr>
            <a:endParaRPr lang="en-US"/>
          </a:p>
        </c:txPr>
        <c:crossAx val="162133504"/>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East Northamptonshire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12.030882810990208</c:v>
                </c:pt>
                <c:pt idx="1">
                  <c:v>11.778391348918092</c:v>
                </c:pt>
                <c:pt idx="2">
                  <c:v>12.200315114570998</c:v>
                </c:pt>
              </c:numCache>
            </c:numRef>
          </c:val>
        </c:ser>
        <c:marker val="1"/>
        <c:axId val="162170368"/>
        <c:axId val="162171904"/>
      </c:lineChart>
      <c:catAx>
        <c:axId val="162170368"/>
        <c:scaling>
          <c:orientation val="minMax"/>
        </c:scaling>
        <c:axPos val="b"/>
        <c:numFmt formatCode="General" sourceLinked="1"/>
        <c:tickLblPos val="nextTo"/>
        <c:crossAx val="162171904"/>
        <c:crosses val="autoZero"/>
        <c:auto val="1"/>
        <c:lblAlgn val="ctr"/>
        <c:lblOffset val="100"/>
      </c:catAx>
      <c:valAx>
        <c:axId val="1621719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170368"/>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East Northamptonshire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9.9543605964753716</c:v>
                </c:pt>
                <c:pt idx="1">
                  <c:v>9.8038190497840496</c:v>
                </c:pt>
                <c:pt idx="2">
                  <c:v>9.8110934303250694</c:v>
                </c:pt>
              </c:numCache>
            </c:numRef>
          </c:val>
        </c:ser>
        <c:axId val="162289920"/>
        <c:axId val="162308096"/>
      </c:barChart>
      <c:catAx>
        <c:axId val="162289920"/>
        <c:scaling>
          <c:orientation val="minMax"/>
        </c:scaling>
        <c:axPos val="b"/>
        <c:numFmt formatCode="General" sourceLinked="1"/>
        <c:tickLblPos val="nextTo"/>
        <c:crossAx val="162308096"/>
        <c:crosses val="autoZero"/>
        <c:auto val="1"/>
        <c:lblAlgn val="ctr"/>
        <c:lblOffset val="100"/>
      </c:catAx>
      <c:valAx>
        <c:axId val="162308096"/>
        <c:scaling>
          <c:orientation val="minMax"/>
        </c:scaling>
        <c:axPos val="l"/>
        <c:majorGridlines/>
        <c:numFmt formatCode="General" sourceLinked="1"/>
        <c:tickLblPos val="nextTo"/>
        <c:txPr>
          <a:bodyPr/>
          <a:lstStyle/>
          <a:p>
            <a:pPr>
              <a:defRPr sz="800"/>
            </a:pPr>
            <a:endParaRPr lang="en-US"/>
          </a:p>
        </c:txPr>
        <c:crossAx val="162289920"/>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East Northamptonshire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13.86008055508872</c:v>
                </c:pt>
                <c:pt idx="1">
                  <c:v>15.579855148183499</c:v>
                </c:pt>
              </c:numCache>
            </c:numRef>
          </c:val>
        </c:ser>
        <c:marker val="1"/>
        <c:axId val="162326784"/>
        <c:axId val="162201600"/>
      </c:lineChart>
      <c:catAx>
        <c:axId val="162326784"/>
        <c:scaling>
          <c:orientation val="minMax"/>
        </c:scaling>
        <c:axPos val="b"/>
        <c:numFmt formatCode="General" sourceLinked="1"/>
        <c:tickLblPos val="nextTo"/>
        <c:crossAx val="162201600"/>
        <c:crosses val="autoZero"/>
        <c:auto val="1"/>
        <c:lblAlgn val="ctr"/>
        <c:lblOffset val="100"/>
      </c:catAx>
      <c:valAx>
        <c:axId val="1622016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326784"/>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East Northamptonshire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5.1897011036622924</c:v>
                </c:pt>
                <c:pt idx="1">
                  <c:v>5.2535748074064008</c:v>
                </c:pt>
              </c:numCache>
            </c:numRef>
          </c:val>
        </c:ser>
        <c:axId val="162245248"/>
        <c:axId val="162259328"/>
      </c:barChart>
      <c:catAx>
        <c:axId val="162245248"/>
        <c:scaling>
          <c:orientation val="minMax"/>
        </c:scaling>
        <c:axPos val="b"/>
        <c:numFmt formatCode="General" sourceLinked="1"/>
        <c:tickLblPos val="nextTo"/>
        <c:crossAx val="162259328"/>
        <c:crosses val="autoZero"/>
        <c:auto val="1"/>
        <c:lblAlgn val="ctr"/>
        <c:lblOffset val="100"/>
      </c:catAx>
      <c:valAx>
        <c:axId val="162259328"/>
        <c:scaling>
          <c:orientation val="minMax"/>
        </c:scaling>
        <c:axPos val="l"/>
        <c:majorGridlines/>
        <c:numFmt formatCode="General" sourceLinked="1"/>
        <c:tickLblPos val="nextTo"/>
        <c:txPr>
          <a:bodyPr/>
          <a:lstStyle/>
          <a:p>
            <a:pPr>
              <a:defRPr sz="800"/>
            </a:pPr>
            <a:endParaRPr lang="en-US"/>
          </a:p>
        </c:txPr>
        <c:crossAx val="162245248"/>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East Northamptonshire</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8.6383048770798183</c:v>
                </c:pt>
                <c:pt idx="1">
                  <c:v>8.6467961930071393</c:v>
                </c:pt>
                <c:pt idx="2">
                  <c:v>8.7755254001541658</c:v>
                </c:pt>
              </c:numCache>
            </c:numRef>
          </c:val>
        </c:ser>
        <c:marker val="1"/>
        <c:axId val="131441024"/>
        <c:axId val="131442560"/>
      </c:lineChart>
      <c:catAx>
        <c:axId val="131441024"/>
        <c:scaling>
          <c:orientation val="minMax"/>
        </c:scaling>
        <c:axPos val="b"/>
        <c:numFmt formatCode="General" sourceLinked="1"/>
        <c:tickLblPos val="nextTo"/>
        <c:crossAx val="131442560"/>
        <c:crosses val="autoZero"/>
        <c:auto val="1"/>
        <c:lblAlgn val="ctr"/>
        <c:lblOffset val="100"/>
      </c:catAx>
      <c:valAx>
        <c:axId val="131442560"/>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1441024"/>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East Northamptonshire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10.432697882208506</c:v>
                </c:pt>
                <c:pt idx="1">
                  <c:v>10.913217190738299</c:v>
                </c:pt>
              </c:numCache>
            </c:numRef>
          </c:val>
        </c:ser>
        <c:marker val="1"/>
        <c:axId val="162351744"/>
        <c:axId val="162357632"/>
      </c:lineChart>
      <c:catAx>
        <c:axId val="162351744"/>
        <c:scaling>
          <c:orientation val="minMax"/>
        </c:scaling>
        <c:axPos val="b"/>
        <c:numFmt formatCode="General" sourceLinked="1"/>
        <c:tickLblPos val="nextTo"/>
        <c:crossAx val="162357632"/>
        <c:crosses val="autoZero"/>
        <c:auto val="1"/>
        <c:lblAlgn val="ctr"/>
        <c:lblOffset val="100"/>
      </c:catAx>
      <c:valAx>
        <c:axId val="1623576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351744"/>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East Northamptonshire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5.5668491466377796</c:v>
                </c:pt>
                <c:pt idx="1">
                  <c:v>6.1443167995675054</c:v>
                </c:pt>
              </c:numCache>
            </c:numRef>
          </c:val>
        </c:ser>
        <c:axId val="162401280"/>
        <c:axId val="162411264"/>
      </c:barChart>
      <c:catAx>
        <c:axId val="162401280"/>
        <c:scaling>
          <c:orientation val="minMax"/>
        </c:scaling>
        <c:axPos val="b"/>
        <c:numFmt formatCode="General" sourceLinked="1"/>
        <c:tickLblPos val="nextTo"/>
        <c:crossAx val="162411264"/>
        <c:crosses val="autoZero"/>
        <c:auto val="1"/>
        <c:lblAlgn val="ctr"/>
        <c:lblOffset val="100"/>
      </c:catAx>
      <c:valAx>
        <c:axId val="162411264"/>
        <c:scaling>
          <c:orientation val="minMax"/>
        </c:scaling>
        <c:axPos val="l"/>
        <c:majorGridlines/>
        <c:numFmt formatCode="General" sourceLinked="1"/>
        <c:tickLblPos val="nextTo"/>
        <c:txPr>
          <a:bodyPr/>
          <a:lstStyle/>
          <a:p>
            <a:pPr>
              <a:defRPr sz="800"/>
            </a:pPr>
            <a:endParaRPr lang="en-US"/>
          </a:p>
        </c:txPr>
        <c:crossAx val="162401280"/>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East Northamptonshire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8.2039762824087106</c:v>
                </c:pt>
                <c:pt idx="1">
                  <c:v>8.1279166759521289</c:v>
                </c:pt>
              </c:numCache>
            </c:numRef>
          </c:val>
        </c:ser>
        <c:marker val="1"/>
        <c:axId val="162450432"/>
        <c:axId val="162460416"/>
      </c:lineChart>
      <c:catAx>
        <c:axId val="162450432"/>
        <c:scaling>
          <c:orientation val="minMax"/>
        </c:scaling>
        <c:axPos val="b"/>
        <c:numFmt formatCode="General" sourceLinked="1"/>
        <c:tickLblPos val="nextTo"/>
        <c:crossAx val="162460416"/>
        <c:crosses val="autoZero"/>
        <c:auto val="1"/>
        <c:lblAlgn val="ctr"/>
        <c:lblOffset val="100"/>
      </c:catAx>
      <c:valAx>
        <c:axId val="1624604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450432"/>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East Northamptonshire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62487680"/>
        <c:axId val="162497664"/>
      </c:barChart>
      <c:catAx>
        <c:axId val="162487680"/>
        <c:scaling>
          <c:orientation val="minMax"/>
        </c:scaling>
        <c:axPos val="b"/>
        <c:numFmt formatCode="General" sourceLinked="1"/>
        <c:tickLblPos val="nextTo"/>
        <c:crossAx val="162497664"/>
        <c:crosses val="autoZero"/>
        <c:auto val="1"/>
        <c:lblAlgn val="ctr"/>
        <c:lblOffset val="100"/>
      </c:catAx>
      <c:valAx>
        <c:axId val="162497664"/>
        <c:scaling>
          <c:orientation val="minMax"/>
        </c:scaling>
        <c:axPos val="l"/>
        <c:majorGridlines/>
        <c:numFmt formatCode="General" sourceLinked="1"/>
        <c:tickLblPos val="nextTo"/>
        <c:txPr>
          <a:bodyPr/>
          <a:lstStyle/>
          <a:p>
            <a:pPr>
              <a:defRPr sz="800"/>
            </a:pPr>
            <a:endParaRPr lang="en-US"/>
          </a:p>
        </c:txPr>
        <c:crossAx val="162487680"/>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East Northamptonshire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70.682755427025327</c:v>
                </c:pt>
                <c:pt idx="1">
                  <c:v>74.313006764110696</c:v>
                </c:pt>
              </c:numCache>
            </c:numRef>
          </c:val>
        </c:ser>
        <c:marker val="1"/>
        <c:axId val="162541568"/>
        <c:axId val="162543104"/>
      </c:lineChart>
      <c:catAx>
        <c:axId val="162541568"/>
        <c:scaling>
          <c:orientation val="minMax"/>
        </c:scaling>
        <c:axPos val="b"/>
        <c:numFmt formatCode="General" sourceLinked="1"/>
        <c:tickLblPos val="nextTo"/>
        <c:crossAx val="162543104"/>
        <c:crosses val="autoZero"/>
        <c:auto val="1"/>
        <c:lblAlgn val="ctr"/>
        <c:lblOffset val="100"/>
      </c:catAx>
      <c:valAx>
        <c:axId val="1625431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541568"/>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East Northamptonshire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1.87944611961708E-2</c:v>
                </c:pt>
                <c:pt idx="1">
                  <c:v>0</c:v>
                </c:pt>
              </c:numCache>
            </c:numRef>
          </c:val>
        </c:ser>
        <c:axId val="162587008"/>
        <c:axId val="162588544"/>
      </c:barChart>
      <c:catAx>
        <c:axId val="162587008"/>
        <c:scaling>
          <c:orientation val="minMax"/>
        </c:scaling>
        <c:axPos val="b"/>
        <c:numFmt formatCode="General" sourceLinked="1"/>
        <c:tickLblPos val="nextTo"/>
        <c:crossAx val="162588544"/>
        <c:crosses val="autoZero"/>
        <c:auto val="1"/>
        <c:lblAlgn val="ctr"/>
        <c:lblOffset val="100"/>
      </c:catAx>
      <c:valAx>
        <c:axId val="162588544"/>
        <c:scaling>
          <c:orientation val="minMax"/>
        </c:scaling>
        <c:axPos val="l"/>
        <c:majorGridlines/>
        <c:numFmt formatCode="General" sourceLinked="1"/>
        <c:tickLblPos val="nextTo"/>
        <c:txPr>
          <a:bodyPr/>
          <a:lstStyle/>
          <a:p>
            <a:pPr>
              <a:defRPr sz="800"/>
            </a:pPr>
            <a:endParaRPr lang="en-US"/>
          </a:p>
        </c:txPr>
        <c:crossAx val="162587008"/>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East Northamptonshire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34.077106708044901</c:v>
                </c:pt>
                <c:pt idx="1">
                  <c:v>72.975340405143399</c:v>
                </c:pt>
              </c:numCache>
            </c:numRef>
          </c:val>
        </c:ser>
        <c:marker val="1"/>
        <c:axId val="162681216"/>
        <c:axId val="162682752"/>
      </c:lineChart>
      <c:catAx>
        <c:axId val="162681216"/>
        <c:scaling>
          <c:orientation val="minMax"/>
        </c:scaling>
        <c:axPos val="b"/>
        <c:numFmt formatCode="General" sourceLinked="1"/>
        <c:tickLblPos val="nextTo"/>
        <c:crossAx val="162682752"/>
        <c:crosses val="autoZero"/>
        <c:auto val="1"/>
        <c:lblAlgn val="ctr"/>
        <c:lblOffset val="100"/>
      </c:catAx>
      <c:valAx>
        <c:axId val="1626827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681216"/>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East Northamptonshire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0.50589888462777055</c:v>
                </c:pt>
                <c:pt idx="1">
                  <c:v>1.2731450195972403E-2</c:v>
                </c:pt>
              </c:numCache>
            </c:numRef>
          </c:val>
        </c:ser>
        <c:axId val="162726656"/>
        <c:axId val="162728192"/>
      </c:barChart>
      <c:catAx>
        <c:axId val="162726656"/>
        <c:scaling>
          <c:orientation val="minMax"/>
        </c:scaling>
        <c:axPos val="b"/>
        <c:numFmt formatCode="General" sourceLinked="1"/>
        <c:tickLblPos val="nextTo"/>
        <c:crossAx val="162728192"/>
        <c:crosses val="autoZero"/>
        <c:auto val="1"/>
        <c:lblAlgn val="ctr"/>
        <c:lblOffset val="100"/>
      </c:catAx>
      <c:valAx>
        <c:axId val="162728192"/>
        <c:scaling>
          <c:orientation val="minMax"/>
        </c:scaling>
        <c:axPos val="l"/>
        <c:majorGridlines/>
        <c:numFmt formatCode="General" sourceLinked="1"/>
        <c:tickLblPos val="nextTo"/>
        <c:txPr>
          <a:bodyPr/>
          <a:lstStyle/>
          <a:p>
            <a:pPr>
              <a:defRPr sz="800"/>
            </a:pPr>
            <a:endParaRPr lang="en-US"/>
          </a:p>
        </c:txPr>
        <c:crossAx val="162726656"/>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East Northamptonshire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27.073400857120077</c:v>
                </c:pt>
                <c:pt idx="1">
                  <c:v>30.414199964343787</c:v>
                </c:pt>
              </c:numCache>
            </c:numRef>
          </c:val>
        </c:ser>
        <c:marker val="1"/>
        <c:axId val="162779904"/>
        <c:axId val="162781440"/>
      </c:lineChart>
      <c:catAx>
        <c:axId val="162779904"/>
        <c:scaling>
          <c:orientation val="minMax"/>
        </c:scaling>
        <c:axPos val="b"/>
        <c:numFmt formatCode="General" sourceLinked="1"/>
        <c:tickLblPos val="nextTo"/>
        <c:crossAx val="162781440"/>
        <c:crosses val="autoZero"/>
        <c:auto val="1"/>
        <c:lblAlgn val="ctr"/>
        <c:lblOffset val="100"/>
      </c:catAx>
      <c:valAx>
        <c:axId val="16278144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779904"/>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East Northamptonshire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0.99414502766474455</c:v>
                </c:pt>
                <c:pt idx="1">
                  <c:v>0.39808082173266784</c:v>
                </c:pt>
              </c:numCache>
            </c:numRef>
          </c:val>
        </c:ser>
        <c:axId val="162829440"/>
        <c:axId val="162830976"/>
      </c:barChart>
      <c:catAx>
        <c:axId val="162829440"/>
        <c:scaling>
          <c:orientation val="minMax"/>
        </c:scaling>
        <c:axPos val="b"/>
        <c:numFmt formatCode="General" sourceLinked="1"/>
        <c:tickLblPos val="nextTo"/>
        <c:crossAx val="162830976"/>
        <c:crosses val="autoZero"/>
        <c:auto val="1"/>
        <c:lblAlgn val="ctr"/>
        <c:lblOffset val="100"/>
      </c:catAx>
      <c:valAx>
        <c:axId val="162830976"/>
        <c:scaling>
          <c:orientation val="minMax"/>
        </c:scaling>
        <c:axPos val="l"/>
        <c:majorGridlines/>
        <c:numFmt formatCode="General" sourceLinked="1"/>
        <c:tickLblPos val="nextTo"/>
        <c:txPr>
          <a:bodyPr/>
          <a:lstStyle/>
          <a:p>
            <a:pPr>
              <a:defRPr sz="800"/>
            </a:pPr>
            <a:endParaRPr lang="en-US"/>
          </a:p>
        </c:txPr>
        <c:crossAx val="162829440"/>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East Northamptonshire</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16.6852616871567</c:v>
                </c:pt>
                <c:pt idx="1">
                  <c:v>16.612144399292124</c:v>
                </c:pt>
                <c:pt idx="2">
                  <c:v>17.537215602478529</c:v>
                </c:pt>
              </c:numCache>
            </c:numRef>
          </c:val>
        </c:ser>
        <c:marker val="1"/>
        <c:axId val="161178368"/>
        <c:axId val="161179904"/>
      </c:lineChart>
      <c:catAx>
        <c:axId val="161178368"/>
        <c:scaling>
          <c:orientation val="minMax"/>
        </c:scaling>
        <c:axPos val="b"/>
        <c:numFmt formatCode="General" sourceLinked="1"/>
        <c:tickLblPos val="nextTo"/>
        <c:crossAx val="161179904"/>
        <c:crosses val="autoZero"/>
        <c:auto val="1"/>
        <c:lblAlgn val="ctr"/>
        <c:lblOffset val="100"/>
      </c:catAx>
      <c:valAx>
        <c:axId val="161179904"/>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78368"/>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East Northamptonshire</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11.8860633258885</c:v>
                </c:pt>
              </c:numCache>
            </c:numRef>
          </c:val>
        </c:ser>
        <c:axId val="162874496"/>
        <c:axId val="162876032"/>
      </c:barChart>
      <c:catAx>
        <c:axId val="162874496"/>
        <c:scaling>
          <c:orientation val="minMax"/>
        </c:scaling>
        <c:axPos val="b"/>
        <c:numFmt formatCode="General" sourceLinked="1"/>
        <c:tickLblPos val="nextTo"/>
        <c:crossAx val="162876032"/>
        <c:crosses val="autoZero"/>
        <c:auto val="1"/>
        <c:lblAlgn val="ctr"/>
        <c:lblOffset val="100"/>
      </c:catAx>
      <c:valAx>
        <c:axId val="16287603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7449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East Northamptonshire</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5.3171779970266169</c:v>
                </c:pt>
              </c:numCache>
            </c:numRef>
          </c:val>
        </c:ser>
        <c:axId val="162919552"/>
        <c:axId val="162921088"/>
      </c:barChart>
      <c:catAx>
        <c:axId val="162919552"/>
        <c:scaling>
          <c:orientation val="minMax"/>
        </c:scaling>
        <c:axPos val="b"/>
        <c:numFmt formatCode="General" sourceLinked="1"/>
        <c:tickLblPos val="nextTo"/>
        <c:crossAx val="162921088"/>
        <c:crosses val="autoZero"/>
        <c:auto val="1"/>
        <c:lblAlgn val="ctr"/>
        <c:lblOffset val="100"/>
      </c:catAx>
      <c:valAx>
        <c:axId val="162921088"/>
        <c:scaling>
          <c:orientation val="minMax"/>
        </c:scaling>
        <c:axPos val="l"/>
        <c:majorGridlines/>
        <c:numFmt formatCode="General" sourceLinked="1"/>
        <c:tickLblPos val="nextTo"/>
        <c:txPr>
          <a:bodyPr/>
          <a:lstStyle/>
          <a:p>
            <a:pPr>
              <a:defRPr sz="800"/>
            </a:pPr>
            <a:endParaRPr lang="en-US"/>
          </a:p>
        </c:txPr>
        <c:crossAx val="16291955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East Northamptonshire</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8.3448821015771024</c:v>
                </c:pt>
              </c:numCache>
            </c:numRef>
          </c:val>
        </c:ser>
        <c:axId val="162964224"/>
        <c:axId val="162965760"/>
      </c:barChart>
      <c:catAx>
        <c:axId val="162964224"/>
        <c:scaling>
          <c:orientation val="minMax"/>
        </c:scaling>
        <c:axPos val="b"/>
        <c:numFmt formatCode="General" sourceLinked="1"/>
        <c:tickLblPos val="nextTo"/>
        <c:crossAx val="162965760"/>
        <c:crosses val="autoZero"/>
        <c:auto val="1"/>
        <c:lblAlgn val="ctr"/>
        <c:lblOffset val="100"/>
      </c:catAx>
      <c:valAx>
        <c:axId val="1629657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96422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East Northamptonshire</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9.9822678740370296</c:v>
                </c:pt>
              </c:numCache>
            </c:numRef>
          </c:val>
        </c:ser>
        <c:axId val="163017856"/>
        <c:axId val="163019392"/>
      </c:barChart>
      <c:catAx>
        <c:axId val="163017856"/>
        <c:scaling>
          <c:orientation val="minMax"/>
        </c:scaling>
        <c:axPos val="b"/>
        <c:numFmt formatCode="General" sourceLinked="1"/>
        <c:tickLblPos val="nextTo"/>
        <c:crossAx val="163019392"/>
        <c:crosses val="autoZero"/>
        <c:auto val="1"/>
        <c:lblAlgn val="ctr"/>
        <c:lblOffset val="100"/>
      </c:catAx>
      <c:valAx>
        <c:axId val="163019392"/>
        <c:scaling>
          <c:orientation val="minMax"/>
        </c:scaling>
        <c:axPos val="l"/>
        <c:majorGridlines/>
        <c:numFmt formatCode="General" sourceLinked="1"/>
        <c:tickLblPos val="nextTo"/>
        <c:txPr>
          <a:bodyPr/>
          <a:lstStyle/>
          <a:p>
            <a:pPr>
              <a:defRPr sz="800"/>
            </a:pPr>
            <a:endParaRPr lang="en-US"/>
          </a:p>
        </c:txPr>
        <c:crossAx val="16301785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East Northamptonshire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11.530066312426607</c:v>
                </c:pt>
                <c:pt idx="1">
                  <c:v>14.651538448168402</c:v>
                </c:pt>
                <c:pt idx="2">
                  <c:v>13.148512049034398</c:v>
                </c:pt>
              </c:numCache>
            </c:numRef>
          </c:val>
        </c:ser>
        <c:marker val="1"/>
        <c:axId val="163034240"/>
        <c:axId val="163035776"/>
      </c:lineChart>
      <c:catAx>
        <c:axId val="163034240"/>
        <c:scaling>
          <c:orientation val="minMax"/>
        </c:scaling>
        <c:axPos val="b"/>
        <c:numFmt formatCode="General" sourceLinked="1"/>
        <c:tickLblPos val="nextTo"/>
        <c:crossAx val="163035776"/>
        <c:crosses val="autoZero"/>
        <c:auto val="1"/>
        <c:lblAlgn val="ctr"/>
        <c:lblOffset val="100"/>
      </c:catAx>
      <c:valAx>
        <c:axId val="1630357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3034240"/>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East Northamptonshire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7.4999853625691602</c:v>
                </c:pt>
                <c:pt idx="1">
                  <c:v>7.3619948641708275</c:v>
                </c:pt>
                <c:pt idx="2">
                  <c:v>7.2218270000000002</c:v>
                </c:pt>
              </c:numCache>
            </c:numRef>
          </c:val>
        </c:ser>
        <c:axId val="163157504"/>
        <c:axId val="163159040"/>
      </c:barChart>
      <c:catAx>
        <c:axId val="163157504"/>
        <c:scaling>
          <c:orientation val="minMax"/>
        </c:scaling>
        <c:axPos val="b"/>
        <c:numFmt formatCode="General" sourceLinked="1"/>
        <c:tickLblPos val="nextTo"/>
        <c:crossAx val="163159040"/>
        <c:crosses val="autoZero"/>
        <c:auto val="1"/>
        <c:lblAlgn val="ctr"/>
        <c:lblOffset val="100"/>
      </c:catAx>
      <c:valAx>
        <c:axId val="163159040"/>
        <c:scaling>
          <c:orientation val="minMax"/>
        </c:scaling>
        <c:axPos val="l"/>
        <c:majorGridlines/>
        <c:numFmt formatCode="General" sourceLinked="1"/>
        <c:tickLblPos val="nextTo"/>
        <c:crossAx val="163157504"/>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East Northamptonshire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10.003507485591498</c:v>
                </c:pt>
                <c:pt idx="1">
                  <c:v>10.3668876607314</c:v>
                </c:pt>
                <c:pt idx="2">
                  <c:v>9.8613845680867982</c:v>
                </c:pt>
              </c:numCache>
            </c:numRef>
          </c:val>
        </c:ser>
        <c:marker val="1"/>
        <c:axId val="163210752"/>
        <c:axId val="163212288"/>
      </c:lineChart>
      <c:catAx>
        <c:axId val="163210752"/>
        <c:scaling>
          <c:orientation val="minMax"/>
        </c:scaling>
        <c:axPos val="b"/>
        <c:numFmt formatCode="General" sourceLinked="1"/>
        <c:tickLblPos val="nextTo"/>
        <c:crossAx val="163212288"/>
        <c:crosses val="autoZero"/>
        <c:auto val="1"/>
        <c:lblAlgn val="ctr"/>
        <c:lblOffset val="100"/>
      </c:catAx>
      <c:valAx>
        <c:axId val="1632122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3210752"/>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East Northamptonshire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7.2560086653590599</c:v>
                </c:pt>
                <c:pt idx="1">
                  <c:v>7.5826733342343671</c:v>
                </c:pt>
                <c:pt idx="2">
                  <c:v>7.6153349999999946</c:v>
                </c:pt>
              </c:numCache>
            </c:numRef>
          </c:val>
        </c:ser>
        <c:axId val="163248000"/>
        <c:axId val="163249536"/>
      </c:barChart>
      <c:catAx>
        <c:axId val="163248000"/>
        <c:scaling>
          <c:orientation val="minMax"/>
        </c:scaling>
        <c:axPos val="b"/>
        <c:numFmt formatCode="General" sourceLinked="1"/>
        <c:tickLblPos val="nextTo"/>
        <c:crossAx val="163249536"/>
        <c:crosses val="autoZero"/>
        <c:auto val="1"/>
        <c:lblAlgn val="ctr"/>
        <c:lblOffset val="100"/>
      </c:catAx>
      <c:valAx>
        <c:axId val="163249536"/>
        <c:scaling>
          <c:orientation val="minMax"/>
        </c:scaling>
        <c:axPos val="l"/>
        <c:majorGridlines/>
        <c:numFmt formatCode="General" sourceLinked="1"/>
        <c:tickLblPos val="nextTo"/>
        <c:crossAx val="163248000"/>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East Northamptonshire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7.6122078232104462</c:v>
                </c:pt>
                <c:pt idx="1">
                  <c:v>7.7258241035812203</c:v>
                </c:pt>
                <c:pt idx="2">
                  <c:v>7.5782498387106836</c:v>
                </c:pt>
              </c:numCache>
            </c:numRef>
          </c:val>
        </c:ser>
        <c:marker val="1"/>
        <c:axId val="163284864"/>
        <c:axId val="163286400"/>
      </c:lineChart>
      <c:catAx>
        <c:axId val="163284864"/>
        <c:scaling>
          <c:orientation val="minMax"/>
        </c:scaling>
        <c:axPos val="b"/>
        <c:numFmt formatCode="General" sourceLinked="1"/>
        <c:tickLblPos val="nextTo"/>
        <c:crossAx val="163286400"/>
        <c:crosses val="autoZero"/>
        <c:auto val="1"/>
        <c:lblAlgn val="ctr"/>
        <c:lblOffset val="100"/>
      </c:catAx>
      <c:valAx>
        <c:axId val="1632864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3284864"/>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East Northamptonshire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9.5590913082935707</c:v>
                </c:pt>
                <c:pt idx="1">
                  <c:v>10</c:v>
                </c:pt>
                <c:pt idx="2">
                  <c:v>10</c:v>
                </c:pt>
              </c:numCache>
            </c:numRef>
          </c:val>
        </c:ser>
        <c:axId val="163408128"/>
        <c:axId val="163422208"/>
      </c:barChart>
      <c:catAx>
        <c:axId val="163408128"/>
        <c:scaling>
          <c:orientation val="minMax"/>
        </c:scaling>
        <c:axPos val="b"/>
        <c:numFmt formatCode="General" sourceLinked="1"/>
        <c:tickLblPos val="nextTo"/>
        <c:crossAx val="163422208"/>
        <c:crosses val="autoZero"/>
        <c:auto val="1"/>
        <c:lblAlgn val="ctr"/>
        <c:lblOffset val="100"/>
      </c:catAx>
      <c:valAx>
        <c:axId val="163422208"/>
        <c:scaling>
          <c:orientation val="minMax"/>
        </c:scaling>
        <c:axPos val="l"/>
        <c:majorGridlines/>
        <c:numFmt formatCode="General" sourceLinked="1"/>
        <c:tickLblPos val="nextTo"/>
        <c:crossAx val="163408128"/>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East Northamptonshire</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14.262833662772101</c:v>
                </c:pt>
                <c:pt idx="1">
                  <c:v>11.608004033606004</c:v>
                </c:pt>
                <c:pt idx="2">
                  <c:v>11.872544976028635</c:v>
                </c:pt>
              </c:numCache>
            </c:numRef>
          </c:val>
        </c:ser>
        <c:marker val="1"/>
        <c:axId val="161219712"/>
        <c:axId val="161221248"/>
      </c:lineChart>
      <c:catAx>
        <c:axId val="161219712"/>
        <c:scaling>
          <c:orientation val="minMax"/>
        </c:scaling>
        <c:axPos val="b"/>
        <c:numFmt formatCode="General" sourceLinked="1"/>
        <c:tickLblPos val="nextTo"/>
        <c:crossAx val="161221248"/>
        <c:crosses val="autoZero"/>
        <c:auto val="1"/>
        <c:lblAlgn val="ctr"/>
        <c:lblOffset val="100"/>
      </c:catAx>
      <c:valAx>
        <c:axId val="161221248"/>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19712"/>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East Northamptonshire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25.637179413395614</c:v>
                </c:pt>
                <c:pt idx="1">
                  <c:v>30.684337683224289</c:v>
                </c:pt>
                <c:pt idx="2">
                  <c:v>30.718628786372289</c:v>
                </c:pt>
              </c:numCache>
            </c:numRef>
          </c:val>
        </c:ser>
        <c:marker val="1"/>
        <c:axId val="163318016"/>
        <c:axId val="163328000"/>
      </c:lineChart>
      <c:catAx>
        <c:axId val="163318016"/>
        <c:scaling>
          <c:orientation val="minMax"/>
        </c:scaling>
        <c:axPos val="b"/>
        <c:numFmt formatCode="General" sourceLinked="1"/>
        <c:tickLblPos val="nextTo"/>
        <c:crossAx val="163328000"/>
        <c:crosses val="autoZero"/>
        <c:auto val="1"/>
        <c:lblAlgn val="ctr"/>
        <c:lblOffset val="100"/>
      </c:catAx>
      <c:valAx>
        <c:axId val="1633280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318016"/>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East Northamptonshire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0.66840364179279299</c:v>
                </c:pt>
                <c:pt idx="1">
                  <c:v>0.71871874577645556</c:v>
                </c:pt>
                <c:pt idx="2">
                  <c:v>1.1362140000000001</c:v>
                </c:pt>
              </c:numCache>
            </c:numRef>
          </c:val>
        </c:ser>
        <c:axId val="163371648"/>
        <c:axId val="163381632"/>
      </c:barChart>
      <c:catAx>
        <c:axId val="163371648"/>
        <c:scaling>
          <c:orientation val="minMax"/>
        </c:scaling>
        <c:axPos val="b"/>
        <c:numFmt formatCode="General" sourceLinked="1"/>
        <c:tickLblPos val="nextTo"/>
        <c:crossAx val="163381632"/>
        <c:crosses val="autoZero"/>
        <c:auto val="1"/>
        <c:lblAlgn val="ctr"/>
        <c:lblOffset val="100"/>
      </c:catAx>
      <c:valAx>
        <c:axId val="163381632"/>
        <c:scaling>
          <c:orientation val="minMax"/>
        </c:scaling>
        <c:axPos val="l"/>
        <c:majorGridlines/>
        <c:numFmt formatCode="General" sourceLinked="1"/>
        <c:tickLblPos val="nextTo"/>
        <c:txPr>
          <a:bodyPr/>
          <a:lstStyle/>
          <a:p>
            <a:pPr>
              <a:defRPr sz="800"/>
            </a:pPr>
            <a:endParaRPr lang="en-US"/>
          </a:p>
        </c:txPr>
        <c:crossAx val="163371648"/>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East Northamptonshire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23.766813991292388</c:v>
                </c:pt>
                <c:pt idx="1">
                  <c:v>23.7544243754596</c:v>
                </c:pt>
                <c:pt idx="2">
                  <c:v>23.788024458809588</c:v>
                </c:pt>
              </c:numCache>
            </c:numRef>
          </c:val>
        </c:ser>
        <c:marker val="1"/>
        <c:axId val="163469952"/>
        <c:axId val="163484032"/>
      </c:lineChart>
      <c:catAx>
        <c:axId val="163469952"/>
        <c:scaling>
          <c:orientation val="minMax"/>
        </c:scaling>
        <c:axPos val="b"/>
        <c:numFmt formatCode="General" sourceLinked="1"/>
        <c:tickLblPos val="nextTo"/>
        <c:crossAx val="163484032"/>
        <c:crosses val="autoZero"/>
        <c:auto val="1"/>
        <c:lblAlgn val="ctr"/>
        <c:lblOffset val="100"/>
      </c:catAx>
      <c:valAx>
        <c:axId val="1634840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469952"/>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East Northamptonshire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0.66380748850961746</c:v>
                </c:pt>
                <c:pt idx="1">
                  <c:v>0.66579267468576875</c:v>
                </c:pt>
                <c:pt idx="2">
                  <c:v>0.66380900000000076</c:v>
                </c:pt>
              </c:numCache>
            </c:numRef>
          </c:val>
        </c:ser>
        <c:axId val="163511296"/>
        <c:axId val="163521280"/>
      </c:barChart>
      <c:catAx>
        <c:axId val="163511296"/>
        <c:scaling>
          <c:orientation val="minMax"/>
        </c:scaling>
        <c:axPos val="b"/>
        <c:numFmt formatCode="General" sourceLinked="1"/>
        <c:tickLblPos val="nextTo"/>
        <c:crossAx val="163521280"/>
        <c:crosses val="autoZero"/>
        <c:auto val="1"/>
        <c:lblAlgn val="ctr"/>
        <c:lblOffset val="100"/>
      </c:catAx>
      <c:valAx>
        <c:axId val="163521280"/>
        <c:scaling>
          <c:orientation val="minMax"/>
        </c:scaling>
        <c:axPos val="l"/>
        <c:majorGridlines/>
        <c:numFmt formatCode="General" sourceLinked="1"/>
        <c:tickLblPos val="nextTo"/>
        <c:txPr>
          <a:bodyPr/>
          <a:lstStyle/>
          <a:p>
            <a:pPr>
              <a:defRPr sz="800"/>
            </a:pPr>
            <a:endParaRPr lang="en-US"/>
          </a:p>
        </c:txPr>
        <c:crossAx val="163511296"/>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East Northamptonshire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13.1615932885448</c:v>
                </c:pt>
                <c:pt idx="1">
                  <c:v>12.841036675721407</c:v>
                </c:pt>
                <c:pt idx="2">
                  <c:v>13.020839688011399</c:v>
                </c:pt>
              </c:numCache>
            </c:numRef>
          </c:val>
        </c:ser>
        <c:marker val="1"/>
        <c:axId val="163548160"/>
        <c:axId val="163562240"/>
      </c:lineChart>
      <c:catAx>
        <c:axId val="163548160"/>
        <c:scaling>
          <c:orientation val="minMax"/>
        </c:scaling>
        <c:axPos val="b"/>
        <c:numFmt formatCode="General" sourceLinked="1"/>
        <c:tickLblPos val="nextTo"/>
        <c:crossAx val="163562240"/>
        <c:crosses val="autoZero"/>
        <c:auto val="1"/>
        <c:lblAlgn val="ctr"/>
        <c:lblOffset val="100"/>
      </c:catAx>
      <c:valAx>
        <c:axId val="16356224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548160"/>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East Northamptonshire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4.7358236482332599</c:v>
                </c:pt>
                <c:pt idx="1">
                  <c:v>3.7841329909447201</c:v>
                </c:pt>
                <c:pt idx="2">
                  <c:v>3.8946929999999984</c:v>
                </c:pt>
              </c:numCache>
            </c:numRef>
          </c:val>
        </c:ser>
        <c:axId val="163601792"/>
        <c:axId val="163607680"/>
      </c:barChart>
      <c:catAx>
        <c:axId val="163601792"/>
        <c:scaling>
          <c:orientation val="minMax"/>
        </c:scaling>
        <c:axPos val="b"/>
        <c:numFmt formatCode="General" sourceLinked="1"/>
        <c:tickLblPos val="nextTo"/>
        <c:crossAx val="163607680"/>
        <c:crosses val="autoZero"/>
        <c:auto val="1"/>
        <c:lblAlgn val="ctr"/>
        <c:lblOffset val="100"/>
      </c:catAx>
      <c:valAx>
        <c:axId val="163607680"/>
        <c:scaling>
          <c:orientation val="minMax"/>
        </c:scaling>
        <c:axPos val="l"/>
        <c:majorGridlines/>
        <c:numFmt formatCode="General" sourceLinked="1"/>
        <c:tickLblPos val="nextTo"/>
        <c:txPr>
          <a:bodyPr/>
          <a:lstStyle/>
          <a:p>
            <a:pPr>
              <a:defRPr sz="800"/>
            </a:pPr>
            <a:endParaRPr lang="en-US"/>
          </a:p>
        </c:txPr>
        <c:crossAx val="163601792"/>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Northamptonshire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5104</c:v>
                </c:pt>
                <c:pt idx="1">
                  <c:v>5138</c:v>
                </c:pt>
                <c:pt idx="2">
                  <c:v>5253</c:v>
                </c:pt>
                <c:pt idx="3">
                  <c:v>5369</c:v>
                </c:pt>
                <c:pt idx="4">
                  <c:v>5468</c:v>
                </c:pt>
              </c:numCache>
            </c:numRef>
          </c:val>
        </c:ser>
        <c:marker val="1"/>
        <c:axId val="163640448"/>
        <c:axId val="163641984"/>
      </c:lineChart>
      <c:catAx>
        <c:axId val="163640448"/>
        <c:scaling>
          <c:orientation val="minMax"/>
        </c:scaling>
        <c:axPos val="b"/>
        <c:numFmt formatCode="General" sourceLinked="1"/>
        <c:tickLblPos val="nextTo"/>
        <c:crossAx val="163641984"/>
        <c:crosses val="autoZero"/>
        <c:auto val="1"/>
        <c:lblAlgn val="ctr"/>
        <c:lblOffset val="100"/>
      </c:catAx>
      <c:valAx>
        <c:axId val="163641984"/>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640448"/>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Northamptonshire</c:v>
                </c:pt>
              </c:strCache>
            </c:strRef>
          </c:tx>
          <c:spPr>
            <a:solidFill>
              <a:schemeClr val="tx1"/>
            </a:solidFill>
          </c:spPr>
          <c:val>
            <c:numRef>
              <c:f>Sheet1!$R$180:$V$180</c:f>
              <c:numCache>
                <c:formatCode>General</c:formatCode>
                <c:ptCount val="5"/>
                <c:pt idx="0">
                  <c:v>7287.9823968951805</c:v>
                </c:pt>
                <c:pt idx="1">
                  <c:v>7281.1784795686308</c:v>
                </c:pt>
                <c:pt idx="2">
                  <c:v>7363.8363162033838</c:v>
                </c:pt>
                <c:pt idx="3">
                  <c:v>7434.5684585421377</c:v>
                </c:pt>
                <c:pt idx="4">
                  <c:v>7465.3356124360371</c:v>
                </c:pt>
              </c:numCache>
            </c:numRef>
          </c:val>
        </c:ser>
        <c:axId val="163673984"/>
        <c:axId val="163675520"/>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3673984"/>
        <c:axId val="163675520"/>
      </c:lineChart>
      <c:catAx>
        <c:axId val="163673984"/>
        <c:scaling>
          <c:orientation val="minMax"/>
        </c:scaling>
        <c:axPos val="b"/>
        <c:tickLblPos val="nextTo"/>
        <c:crossAx val="163675520"/>
        <c:crosses val="autoZero"/>
        <c:auto val="1"/>
        <c:lblAlgn val="ctr"/>
        <c:lblOffset val="100"/>
      </c:catAx>
      <c:valAx>
        <c:axId val="163675520"/>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67398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Northamptonshire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3937</c:v>
                </c:pt>
                <c:pt idx="1">
                  <c:v>3944</c:v>
                </c:pt>
                <c:pt idx="2">
                  <c:v>4012</c:v>
                </c:pt>
                <c:pt idx="3">
                  <c:v>4076</c:v>
                </c:pt>
                <c:pt idx="4">
                  <c:v>4132</c:v>
                </c:pt>
              </c:numCache>
            </c:numRef>
          </c:val>
        </c:ser>
        <c:marker val="1"/>
        <c:axId val="163786752"/>
        <c:axId val="163788288"/>
      </c:lineChart>
      <c:catAx>
        <c:axId val="163786752"/>
        <c:scaling>
          <c:orientation val="minMax"/>
        </c:scaling>
        <c:axPos val="b"/>
        <c:numFmt formatCode="General" sourceLinked="1"/>
        <c:tickLblPos val="nextTo"/>
        <c:crossAx val="163788288"/>
        <c:crosses val="autoZero"/>
        <c:auto val="1"/>
        <c:lblAlgn val="ctr"/>
        <c:lblOffset val="100"/>
      </c:catAx>
      <c:valAx>
        <c:axId val="163788288"/>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786752"/>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Northamptonshire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5621.6274875737354</c:v>
                </c:pt>
                <c:pt idx="1">
                  <c:v>5589.1335000814843</c:v>
                </c:pt>
                <c:pt idx="2">
                  <c:v>5624.1597754821987</c:v>
                </c:pt>
                <c:pt idx="3">
                  <c:v>5644.1238660863792</c:v>
                </c:pt>
                <c:pt idx="4">
                  <c:v>5641.3253018627865</c:v>
                </c:pt>
              </c:numCache>
            </c:numRef>
          </c:val>
        </c:ser>
        <c:axId val="163832576"/>
        <c:axId val="163834112"/>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3832576"/>
        <c:axId val="163834112"/>
      </c:lineChart>
      <c:catAx>
        <c:axId val="163832576"/>
        <c:scaling>
          <c:orientation val="minMax"/>
        </c:scaling>
        <c:axPos val="b"/>
        <c:numFmt formatCode="General" sourceLinked="1"/>
        <c:tickLblPos val="nextTo"/>
        <c:crossAx val="163834112"/>
        <c:crosses val="autoZero"/>
        <c:auto val="1"/>
        <c:lblAlgn val="ctr"/>
        <c:lblOffset val="100"/>
      </c:catAx>
      <c:valAx>
        <c:axId val="163834112"/>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83257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East Northamptonshire</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9.509765400151668</c:v>
                </c:pt>
                <c:pt idx="1">
                  <c:v>8.6569922893499616</c:v>
                </c:pt>
                <c:pt idx="2">
                  <c:v>8.9188717022500441</c:v>
                </c:pt>
              </c:numCache>
            </c:numRef>
          </c:val>
        </c:ser>
        <c:marker val="1"/>
        <c:axId val="161256960"/>
        <c:axId val="161258496"/>
      </c:lineChart>
      <c:catAx>
        <c:axId val="161256960"/>
        <c:scaling>
          <c:orientation val="minMax"/>
        </c:scaling>
        <c:axPos val="b"/>
        <c:numFmt formatCode="General" sourceLinked="1"/>
        <c:tickLblPos val="nextTo"/>
        <c:crossAx val="161258496"/>
        <c:crosses val="autoZero"/>
        <c:auto val="1"/>
        <c:lblAlgn val="ctr"/>
        <c:lblOffset val="100"/>
      </c:catAx>
      <c:valAx>
        <c:axId val="161258496"/>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56960"/>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Northamptonshire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2715</c:v>
                </c:pt>
                <c:pt idx="1">
                  <c:v>2737</c:v>
                </c:pt>
                <c:pt idx="2">
                  <c:v>2832</c:v>
                </c:pt>
                <c:pt idx="3">
                  <c:v>2908</c:v>
                </c:pt>
                <c:pt idx="4">
                  <c:v>2993</c:v>
                </c:pt>
              </c:numCache>
            </c:numRef>
          </c:val>
        </c:ser>
        <c:marker val="1"/>
        <c:axId val="163736192"/>
        <c:axId val="163742080"/>
      </c:lineChart>
      <c:catAx>
        <c:axId val="163736192"/>
        <c:scaling>
          <c:orientation val="minMax"/>
        </c:scaling>
        <c:axPos val="b"/>
        <c:numFmt formatCode="General" sourceLinked="1"/>
        <c:tickLblPos val="nextTo"/>
        <c:crossAx val="163742080"/>
        <c:crosses val="autoZero"/>
        <c:auto val="1"/>
        <c:lblAlgn val="ctr"/>
        <c:lblOffset val="100"/>
      </c:catAx>
      <c:valAx>
        <c:axId val="163742080"/>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736192"/>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Northamptonshire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3876.7382851822904</c:v>
                </c:pt>
                <c:pt idx="1">
                  <c:v>3878.665920315168</c:v>
                </c:pt>
                <c:pt idx="2">
                  <c:v>3969.9951356344941</c:v>
                </c:pt>
                <c:pt idx="3">
                  <c:v>4026.7694314472956</c:v>
                </c:pt>
                <c:pt idx="4">
                  <c:v>4086.2745954683705</c:v>
                </c:pt>
              </c:numCache>
            </c:numRef>
          </c:val>
        </c:ser>
        <c:axId val="163913088"/>
        <c:axId val="163931264"/>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3913088"/>
        <c:axId val="163931264"/>
      </c:lineChart>
      <c:catAx>
        <c:axId val="163913088"/>
        <c:scaling>
          <c:orientation val="minMax"/>
        </c:scaling>
        <c:axPos val="b"/>
        <c:numFmt formatCode="General" sourceLinked="1"/>
        <c:tickLblPos val="nextTo"/>
        <c:crossAx val="163931264"/>
        <c:crosses val="autoZero"/>
        <c:auto val="1"/>
        <c:lblAlgn val="ctr"/>
        <c:lblOffset val="100"/>
      </c:catAx>
      <c:valAx>
        <c:axId val="163931264"/>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91308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Northamptonshire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4955</c:v>
                </c:pt>
                <c:pt idx="1">
                  <c:v>4988</c:v>
                </c:pt>
                <c:pt idx="2">
                  <c:v>5089</c:v>
                </c:pt>
                <c:pt idx="3">
                  <c:v>5180</c:v>
                </c:pt>
                <c:pt idx="4">
                  <c:v>5212</c:v>
                </c:pt>
              </c:numCache>
            </c:numRef>
          </c:val>
        </c:ser>
        <c:marker val="1"/>
        <c:axId val="163954688"/>
        <c:axId val="163956224"/>
      </c:lineChart>
      <c:catAx>
        <c:axId val="163954688"/>
        <c:scaling>
          <c:orientation val="minMax"/>
        </c:scaling>
        <c:axPos val="b"/>
        <c:numFmt formatCode="General" sourceLinked="1"/>
        <c:tickLblPos val="nextTo"/>
        <c:crossAx val="163956224"/>
        <c:crosses val="autoZero"/>
        <c:auto val="1"/>
        <c:lblAlgn val="ctr"/>
        <c:lblOffset val="100"/>
      </c:catAx>
      <c:valAx>
        <c:axId val="163956224"/>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954688"/>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Northamptonshire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3</c:v>
                </c:pt>
                <c:pt idx="1">
                  <c:v>3</c:v>
                </c:pt>
                <c:pt idx="2">
                  <c:v>3</c:v>
                </c:pt>
                <c:pt idx="3">
                  <c:v>3</c:v>
                </c:pt>
                <c:pt idx="4">
                  <c:v>3</c:v>
                </c:pt>
              </c:numCache>
            </c:numRef>
          </c:val>
        </c:ser>
        <c:axId val="164025088"/>
        <c:axId val="164026624"/>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4025088"/>
        <c:axId val="164026624"/>
      </c:lineChart>
      <c:catAx>
        <c:axId val="164025088"/>
        <c:scaling>
          <c:orientation val="minMax"/>
        </c:scaling>
        <c:axPos val="b"/>
        <c:tickLblPos val="nextTo"/>
        <c:crossAx val="164026624"/>
        <c:crosses val="autoZero"/>
        <c:auto val="1"/>
        <c:lblAlgn val="ctr"/>
        <c:lblOffset val="100"/>
      </c:catAx>
      <c:valAx>
        <c:axId val="16402662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02508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Northamptonshire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7</c:v>
                </c:pt>
                <c:pt idx="1">
                  <c:v>7</c:v>
                </c:pt>
                <c:pt idx="2">
                  <c:v>7</c:v>
                </c:pt>
                <c:pt idx="3">
                  <c:v>6</c:v>
                </c:pt>
                <c:pt idx="4">
                  <c:v>6</c:v>
                </c:pt>
              </c:numCache>
            </c:numRef>
          </c:val>
        </c:ser>
        <c:axId val="164070912"/>
        <c:axId val="164072448"/>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4070912"/>
        <c:axId val="164072448"/>
      </c:lineChart>
      <c:catAx>
        <c:axId val="164070912"/>
        <c:scaling>
          <c:orientation val="minMax"/>
        </c:scaling>
        <c:axPos val="b"/>
        <c:tickLblPos val="nextTo"/>
        <c:crossAx val="164072448"/>
        <c:crosses val="autoZero"/>
        <c:auto val="1"/>
        <c:lblAlgn val="ctr"/>
        <c:lblOffset val="100"/>
      </c:catAx>
      <c:valAx>
        <c:axId val="16407244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07091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Northamptonshire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32</c:v>
                </c:pt>
                <c:pt idx="1">
                  <c:v>0</c:v>
                </c:pt>
                <c:pt idx="2">
                  <c:v>21</c:v>
                </c:pt>
                <c:pt idx="3">
                  <c:v>0</c:v>
                </c:pt>
                <c:pt idx="4">
                  <c:v>25</c:v>
                </c:pt>
              </c:numCache>
            </c:numRef>
          </c:val>
        </c:ser>
        <c:axId val="164174848"/>
        <c:axId val="164180736"/>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4174848"/>
        <c:axId val="164180736"/>
      </c:lineChart>
      <c:catAx>
        <c:axId val="164174848"/>
        <c:scaling>
          <c:orientation val="minMax"/>
        </c:scaling>
        <c:axPos val="b"/>
        <c:tickLblPos val="nextTo"/>
        <c:crossAx val="164180736"/>
        <c:crosses val="autoZero"/>
        <c:auto val="1"/>
        <c:lblAlgn val="ctr"/>
        <c:lblOffset val="100"/>
      </c:catAx>
      <c:valAx>
        <c:axId val="16418073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17484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Northamptonshire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31.5</c:v>
                </c:pt>
                <c:pt idx="1">
                  <c:v>31.1</c:v>
                </c:pt>
                <c:pt idx="2">
                  <c:v>30.9</c:v>
                </c:pt>
              </c:numCache>
            </c:numRef>
          </c:val>
        </c:ser>
        <c:marker val="1"/>
        <c:axId val="164232192"/>
        <c:axId val="164111104"/>
      </c:lineChart>
      <c:catAx>
        <c:axId val="164232192"/>
        <c:scaling>
          <c:orientation val="minMax"/>
        </c:scaling>
        <c:axPos val="b"/>
        <c:numFmt formatCode="General" sourceLinked="1"/>
        <c:tickLblPos val="nextTo"/>
        <c:crossAx val="164111104"/>
        <c:crosses val="autoZero"/>
        <c:auto val="1"/>
        <c:lblAlgn val="ctr"/>
        <c:lblOffset val="100"/>
      </c:catAx>
      <c:valAx>
        <c:axId val="164111104"/>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232192"/>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Northamptonshire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27.9</c:v>
                </c:pt>
                <c:pt idx="1">
                  <c:v>29.1</c:v>
                </c:pt>
                <c:pt idx="2">
                  <c:v>30.2</c:v>
                </c:pt>
              </c:numCache>
            </c:numRef>
          </c:val>
        </c:ser>
        <c:marker val="1"/>
        <c:axId val="164135296"/>
        <c:axId val="164136832"/>
      </c:lineChart>
      <c:catAx>
        <c:axId val="164135296"/>
        <c:scaling>
          <c:orientation val="minMax"/>
        </c:scaling>
        <c:axPos val="b"/>
        <c:numFmt formatCode="General" sourceLinked="1"/>
        <c:tickLblPos val="nextTo"/>
        <c:crossAx val="164136832"/>
        <c:crosses val="autoZero"/>
        <c:auto val="1"/>
        <c:lblAlgn val="ctr"/>
        <c:lblOffset val="100"/>
      </c:catAx>
      <c:valAx>
        <c:axId val="164136832"/>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4135296"/>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East Northamptonshire</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81.512899878995356</c:v>
                </c:pt>
                <c:pt idx="1">
                  <c:v>71.579623251174041</c:v>
                </c:pt>
                <c:pt idx="2">
                  <c:v>44.369008914661663</c:v>
                </c:pt>
                <c:pt idx="3">
                  <c:v>30.111516705277619</c:v>
                </c:pt>
              </c:numCache>
            </c:numRef>
          </c:val>
        </c:ser>
        <c:axId val="164320000"/>
        <c:axId val="164321536"/>
      </c:barChart>
      <c:catAx>
        <c:axId val="164320000"/>
        <c:scaling>
          <c:orientation val="minMax"/>
        </c:scaling>
        <c:axPos val="b"/>
        <c:tickLblPos val="nextTo"/>
        <c:txPr>
          <a:bodyPr/>
          <a:lstStyle/>
          <a:p>
            <a:pPr>
              <a:defRPr sz="800"/>
            </a:pPr>
            <a:endParaRPr lang="en-US"/>
          </a:p>
        </c:txPr>
        <c:crossAx val="164321536"/>
        <c:crosses val="autoZero"/>
        <c:auto val="1"/>
        <c:lblAlgn val="ctr"/>
        <c:lblOffset val="100"/>
      </c:catAx>
      <c:valAx>
        <c:axId val="164321536"/>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320000"/>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East Northamptonshire</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14.826055827666529</c:v>
                </c:pt>
                <c:pt idx="1">
                  <c:v>9.5748569844253897</c:v>
                </c:pt>
                <c:pt idx="2">
                  <c:v>3.016930458596256</c:v>
                </c:pt>
                <c:pt idx="3">
                  <c:v>1.4008962814279227</c:v>
                </c:pt>
              </c:numCache>
            </c:numRef>
          </c:val>
        </c:ser>
        <c:axId val="164361344"/>
        <c:axId val="164362880"/>
      </c:barChart>
      <c:catAx>
        <c:axId val="164361344"/>
        <c:scaling>
          <c:orientation val="minMax"/>
        </c:scaling>
        <c:axPos val="b"/>
        <c:numFmt formatCode="General" sourceLinked="1"/>
        <c:tickLblPos val="nextTo"/>
        <c:txPr>
          <a:bodyPr/>
          <a:lstStyle/>
          <a:p>
            <a:pPr>
              <a:defRPr sz="800"/>
            </a:pPr>
            <a:endParaRPr lang="en-US"/>
          </a:p>
        </c:txPr>
        <c:crossAx val="164362880"/>
        <c:crosses val="autoZero"/>
        <c:auto val="1"/>
        <c:lblAlgn val="ctr"/>
        <c:lblOffset val="100"/>
      </c:catAx>
      <c:valAx>
        <c:axId val="16436288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361344"/>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East Northamptonshire</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57.799659978287849</c:v>
                </c:pt>
                <c:pt idx="1">
                  <c:v>63.07345124333245</c:v>
                </c:pt>
                <c:pt idx="2">
                  <c:v>63.060508391235103</c:v>
                </c:pt>
              </c:numCache>
            </c:numRef>
          </c:val>
        </c:ser>
        <c:marker val="1"/>
        <c:axId val="161363840"/>
        <c:axId val="161365376"/>
      </c:lineChart>
      <c:catAx>
        <c:axId val="161363840"/>
        <c:scaling>
          <c:orientation val="minMax"/>
        </c:scaling>
        <c:axPos val="b"/>
        <c:numFmt formatCode="General" sourceLinked="1"/>
        <c:tickLblPos val="nextTo"/>
        <c:crossAx val="161365376"/>
        <c:crosses val="autoZero"/>
        <c:auto val="1"/>
        <c:lblAlgn val="ctr"/>
        <c:lblOffset val="100"/>
      </c:catAx>
      <c:valAx>
        <c:axId val="161365376"/>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363840"/>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East Northamptonshire</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13.627751245646452</c:v>
                </c:pt>
                <c:pt idx="1">
                  <c:v>8.4523914398988325</c:v>
                </c:pt>
                <c:pt idx="2">
                  <c:v>1.7989257568360284</c:v>
                </c:pt>
                <c:pt idx="3">
                  <c:v>0.722016285459675</c:v>
                </c:pt>
              </c:numCache>
            </c:numRef>
          </c:val>
        </c:ser>
        <c:axId val="164279808"/>
        <c:axId val="164281344"/>
      </c:barChart>
      <c:catAx>
        <c:axId val="164279808"/>
        <c:scaling>
          <c:orientation val="minMax"/>
        </c:scaling>
        <c:axPos val="b"/>
        <c:numFmt formatCode="General" sourceLinked="1"/>
        <c:tickLblPos val="nextTo"/>
        <c:txPr>
          <a:bodyPr/>
          <a:lstStyle/>
          <a:p>
            <a:pPr>
              <a:defRPr sz="800"/>
            </a:pPr>
            <a:endParaRPr lang="en-US"/>
          </a:p>
        </c:txPr>
        <c:crossAx val="164281344"/>
        <c:crosses val="autoZero"/>
        <c:auto val="1"/>
        <c:lblAlgn val="ctr"/>
        <c:lblOffset val="100"/>
      </c:catAx>
      <c:valAx>
        <c:axId val="16428134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279808"/>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East Northamptonshire</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2.7915373644094541</c:v>
                </c:pt>
                <c:pt idx="1">
                  <c:v>1.3654123289101132</c:v>
                </c:pt>
                <c:pt idx="2">
                  <c:v>0.80901296876202278</c:v>
                </c:pt>
                <c:pt idx="3">
                  <c:v>0.63907477573733229</c:v>
                </c:pt>
              </c:numCache>
            </c:numRef>
          </c:val>
        </c:ser>
        <c:axId val="164390784"/>
        <c:axId val="164392320"/>
      </c:barChart>
      <c:catAx>
        <c:axId val="164390784"/>
        <c:scaling>
          <c:orientation val="minMax"/>
        </c:scaling>
        <c:axPos val="b"/>
        <c:numFmt formatCode="General" sourceLinked="1"/>
        <c:tickLblPos val="nextTo"/>
        <c:txPr>
          <a:bodyPr/>
          <a:lstStyle/>
          <a:p>
            <a:pPr>
              <a:defRPr sz="800"/>
            </a:pPr>
            <a:endParaRPr lang="en-US"/>
          </a:p>
        </c:txPr>
        <c:crossAx val="164392320"/>
        <c:crosses val="autoZero"/>
        <c:auto val="1"/>
        <c:lblAlgn val="ctr"/>
        <c:lblOffset val="100"/>
      </c:catAx>
      <c:valAx>
        <c:axId val="16439232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390784"/>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East Northamptonshire</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80.348598213108133</c:v>
                </c:pt>
                <c:pt idx="1">
                  <c:v>70.272969115363054</c:v>
                </c:pt>
                <c:pt idx="2">
                  <c:v>41.147542028360952</c:v>
                </c:pt>
                <c:pt idx="3">
                  <c:v>28.219617721466495</c:v>
                </c:pt>
              </c:numCache>
            </c:numRef>
          </c:val>
        </c:ser>
        <c:axId val="164505856"/>
        <c:axId val="164511744"/>
      </c:barChart>
      <c:catAx>
        <c:axId val="164505856"/>
        <c:scaling>
          <c:orientation val="minMax"/>
        </c:scaling>
        <c:axPos val="b"/>
        <c:numFmt formatCode="General" sourceLinked="1"/>
        <c:tickLblPos val="nextTo"/>
        <c:txPr>
          <a:bodyPr/>
          <a:lstStyle/>
          <a:p>
            <a:pPr>
              <a:defRPr sz="800"/>
            </a:pPr>
            <a:endParaRPr lang="en-US"/>
          </a:p>
        </c:txPr>
        <c:crossAx val="164511744"/>
        <c:crosses val="autoZero"/>
        <c:auto val="1"/>
        <c:lblAlgn val="ctr"/>
        <c:lblOffset val="100"/>
      </c:catAx>
      <c:valAx>
        <c:axId val="16451174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505856"/>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East Northamptonshire</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66.187527090978975</c:v>
                </c:pt>
                <c:pt idx="1">
                  <c:v>54.885196779657463</c:v>
                </c:pt>
                <c:pt idx="2">
                  <c:v>28.921930415020579</c:v>
                </c:pt>
                <c:pt idx="3">
                  <c:v>19.024169936160227</c:v>
                </c:pt>
              </c:numCache>
            </c:numRef>
          </c:val>
        </c:ser>
        <c:axId val="164539008"/>
        <c:axId val="164430208"/>
      </c:barChart>
      <c:catAx>
        <c:axId val="164539008"/>
        <c:scaling>
          <c:orientation val="minMax"/>
        </c:scaling>
        <c:axPos val="b"/>
        <c:numFmt formatCode="General" sourceLinked="1"/>
        <c:tickLblPos val="nextTo"/>
        <c:txPr>
          <a:bodyPr/>
          <a:lstStyle/>
          <a:p>
            <a:pPr>
              <a:defRPr sz="800"/>
            </a:pPr>
            <a:endParaRPr lang="en-US"/>
          </a:p>
        </c:txPr>
        <c:crossAx val="164430208"/>
        <c:crosses val="autoZero"/>
        <c:auto val="1"/>
        <c:lblAlgn val="ctr"/>
        <c:lblOffset val="100"/>
      </c:catAx>
      <c:valAx>
        <c:axId val="16443020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539008"/>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East Northamptonshire</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37.531645039605586</c:v>
                </c:pt>
                <c:pt idx="1">
                  <c:v>30.376552143571161</c:v>
                </c:pt>
                <c:pt idx="2">
                  <c:v>13.581322712017135</c:v>
                </c:pt>
                <c:pt idx="3">
                  <c:v>8.7335127893631253</c:v>
                </c:pt>
              </c:numCache>
            </c:numRef>
          </c:val>
        </c:ser>
        <c:axId val="164494336"/>
        <c:axId val="164565760"/>
      </c:barChart>
      <c:catAx>
        <c:axId val="164494336"/>
        <c:scaling>
          <c:orientation val="minMax"/>
        </c:scaling>
        <c:axPos val="b"/>
        <c:numFmt formatCode="General" sourceLinked="1"/>
        <c:tickLblPos val="nextTo"/>
        <c:txPr>
          <a:bodyPr/>
          <a:lstStyle/>
          <a:p>
            <a:pPr>
              <a:defRPr sz="800"/>
            </a:pPr>
            <a:endParaRPr lang="en-US"/>
          </a:p>
        </c:txPr>
        <c:crossAx val="164565760"/>
        <c:crosses val="autoZero"/>
        <c:auto val="1"/>
        <c:lblAlgn val="ctr"/>
        <c:lblOffset val="100"/>
      </c:catAx>
      <c:valAx>
        <c:axId val="16456576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494336"/>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East Northamptonshire</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63.164535802385068</c:v>
                </c:pt>
                <c:pt idx="1">
                  <c:v>64.042463953052504</c:v>
                </c:pt>
                <c:pt idx="2">
                  <c:v>63.977547196030798</c:v>
                </c:pt>
              </c:numCache>
            </c:numRef>
          </c:val>
        </c:ser>
        <c:marker val="1"/>
        <c:axId val="161302784"/>
        <c:axId val="161308672"/>
      </c:lineChart>
      <c:catAx>
        <c:axId val="161302784"/>
        <c:scaling>
          <c:orientation val="minMax"/>
        </c:scaling>
        <c:axPos val="b"/>
        <c:numFmt formatCode="General" sourceLinked="1"/>
        <c:tickLblPos val="nextTo"/>
        <c:crossAx val="161308672"/>
        <c:crosses val="autoZero"/>
        <c:auto val="1"/>
        <c:lblAlgn val="ctr"/>
        <c:lblOffset val="100"/>
      </c:catAx>
      <c:valAx>
        <c:axId val="161308672"/>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302784"/>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East Northamptonshire</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24.135433846013889</c:v>
                </c:pt>
                <c:pt idx="1">
                  <c:v>25.024662104374102</c:v>
                </c:pt>
                <c:pt idx="2">
                  <c:v>25.657820368972398</c:v>
                </c:pt>
              </c:numCache>
            </c:numRef>
          </c:val>
        </c:ser>
        <c:marker val="1"/>
        <c:axId val="161335936"/>
        <c:axId val="161415552"/>
      </c:lineChart>
      <c:catAx>
        <c:axId val="161335936"/>
        <c:scaling>
          <c:orientation val="minMax"/>
        </c:scaling>
        <c:axPos val="b"/>
        <c:numFmt formatCode="General" sourceLinked="1"/>
        <c:tickLblPos val="nextTo"/>
        <c:crossAx val="161415552"/>
        <c:crosses val="autoZero"/>
        <c:auto val="1"/>
        <c:lblAlgn val="ctr"/>
        <c:lblOffset val="100"/>
      </c:catAx>
      <c:valAx>
        <c:axId val="161415552"/>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335936"/>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160F7E-287E-4D45-B3C2-26ED1DF86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30</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2018-06-27T14:34:00Z</dcterms:created>
  <dcterms:modified xsi:type="dcterms:W3CDTF">2018-07-13T15:59:00Z</dcterms:modified>
</cp:coreProperties>
</file>