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4321A">
      <w:r w:rsidRPr="0064321A">
        <w:rPr>
          <w:noProof/>
          <w:lang w:val="en-US" w:eastAsia="zh-TW"/>
        </w:rPr>
        <w:pict>
          <v:shapetype id="_x0000_t202" coordsize="21600,21600" o:spt="202" path="m,l,21600r21600,l21600,xe">
            <v:stroke joinstyle="miter"/>
            <v:path gradientshapeok="t" o:connecttype="rect"/>
          </v:shapetype>
          <v:shape id="_x0000_s1026" type="#_x0000_t202" style="position:absolute;margin-left:8573.4pt;margin-top:0;width:299.8pt;height:117pt;z-index:251660288;mso-position-horizontal:right;mso-position-horizontal-relative:margin;mso-position-vertical:top;mso-position-vertical-relative:margin;mso-width-relative:margin;mso-height-relative:margin" stroked="f">
            <v:textbox>
              <w:txbxContent>
                <w:p w:rsidR="00701EDA" w:rsidRPr="00EE11F9" w:rsidRDefault="00701EDA" w:rsidP="004D3814">
                  <w:pPr>
                    <w:jc w:val="right"/>
                    <w:rPr>
                      <w:rFonts w:ascii="Segoe UI" w:hAnsi="Segoe UI" w:cs="Segoe UI"/>
                      <w:b/>
                      <w:sz w:val="56"/>
                      <w:szCs w:val="72"/>
                      <w:u w:val="single"/>
                    </w:rPr>
                  </w:pPr>
                  <w:r>
                    <w:rPr>
                      <w:rFonts w:ascii="Segoe UI" w:hAnsi="Segoe UI" w:cs="Segoe UI"/>
                      <w:b/>
                      <w:sz w:val="56"/>
                      <w:szCs w:val="72"/>
                      <w:u w:val="single"/>
                    </w:rPr>
                    <w:t>Fol</w:t>
                  </w:r>
                  <w:r w:rsidRPr="00EE11F9">
                    <w:rPr>
                      <w:rFonts w:ascii="Segoe UI" w:hAnsi="Segoe UI" w:cs="Segoe UI"/>
                      <w:b/>
                      <w:sz w:val="56"/>
                      <w:szCs w:val="72"/>
                      <w:u w:val="single"/>
                    </w:rPr>
                    <w:t>k</w:t>
                  </w:r>
                  <w:r>
                    <w:rPr>
                      <w:rFonts w:ascii="Segoe UI" w:hAnsi="Segoe UI" w:cs="Segoe UI"/>
                      <w:b/>
                      <w:sz w:val="56"/>
                      <w:szCs w:val="72"/>
                      <w:u w:val="single"/>
                    </w:rPr>
                    <w:t>e</w:t>
                  </w:r>
                  <w:r w:rsidRPr="00EE11F9">
                    <w:rPr>
                      <w:rFonts w:ascii="Segoe UI" w:hAnsi="Segoe UI" w:cs="Segoe UI"/>
                      <w:b/>
                      <w:sz w:val="56"/>
                      <w:szCs w:val="72"/>
                      <w:u w:val="single"/>
                    </w:rPr>
                    <w:t>stone &amp; Hythe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64321A"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64321A"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64321A"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64321A"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64321A"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64321A"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64321A"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701EDA">
        <w:rPr>
          <w:rFonts w:ascii="Segoe UI" w:hAnsi="Segoe UI" w:cs="Segoe UI"/>
          <w:u w:val="single"/>
        </w:rPr>
        <w:t>Folkestone &amp; Hythe</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3E16C7">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701EDA">
        <w:rPr>
          <w:rFonts w:ascii="Segoe UI" w:hAnsi="Segoe UI" w:cs="Segoe UI"/>
        </w:rPr>
        <w:t>Folkestone &amp; Hythe</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3E16C7">
        <w:rPr>
          <w:rFonts w:ascii="Segoe UI" w:hAnsi="Segoe UI" w:cs="Segoe UI"/>
        </w:rPr>
        <w:t>ere</w:t>
      </w:r>
      <w:r w:rsidR="00A13944">
        <w:rPr>
          <w:rFonts w:ascii="Segoe UI" w:hAnsi="Segoe UI" w:cs="Segoe UI"/>
        </w:rPr>
        <w:t xml:space="preserve"> </w:t>
      </w:r>
      <w:r w:rsidR="00701EDA">
        <w:rPr>
          <w:rFonts w:ascii="Segoe UI" w:hAnsi="Segoe UI" w:cs="Segoe UI"/>
        </w:rPr>
        <w:t>Business Administration &amp; Support Services</w:t>
      </w:r>
      <w:r w:rsidR="003E16C7">
        <w:rPr>
          <w:rFonts w:ascii="Segoe UI" w:hAnsi="Segoe UI" w:cs="Segoe UI"/>
        </w:rPr>
        <w:t xml:space="preserve">, </w:t>
      </w:r>
      <w:r w:rsidR="00701EDA">
        <w:rPr>
          <w:rFonts w:ascii="Segoe UI" w:hAnsi="Segoe UI" w:cs="Segoe UI"/>
        </w:rPr>
        <w:t>Health</w:t>
      </w:r>
      <w:r w:rsidR="003E16C7">
        <w:rPr>
          <w:rFonts w:ascii="Segoe UI" w:hAnsi="Segoe UI" w:cs="Segoe UI"/>
        </w:rPr>
        <w:t xml:space="preserve"> and </w:t>
      </w:r>
      <w:r w:rsidR="00701EDA">
        <w:rPr>
          <w:rFonts w:ascii="Segoe UI" w:hAnsi="Segoe UI" w:cs="Segoe UI"/>
        </w:rPr>
        <w:t>Transport &amp; Storage</w:t>
      </w:r>
      <w:r w:rsidR="00583594">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701EDA">
        <w:rPr>
          <w:rFonts w:ascii="Segoe UI" w:hAnsi="Segoe UI" w:cs="Segoe UI"/>
        </w:rPr>
        <w:t>10.9</w:t>
      </w:r>
      <w:r>
        <w:rPr>
          <w:rFonts w:ascii="Segoe UI" w:hAnsi="Segoe UI" w:cs="Segoe UI"/>
        </w:rPr>
        <w:t>%</w:t>
      </w:r>
      <w:r w:rsidR="003E16C7">
        <w:rPr>
          <w:rFonts w:ascii="Segoe UI" w:hAnsi="Segoe UI" w:cs="Segoe UI"/>
        </w:rPr>
        <w:t>, 1</w:t>
      </w:r>
      <w:r w:rsidR="00701EDA">
        <w:rPr>
          <w:rFonts w:ascii="Segoe UI" w:hAnsi="Segoe UI" w:cs="Segoe UI"/>
        </w:rPr>
        <w:t>0.9% and 8.7</w:t>
      </w:r>
      <w:r w:rsidR="003E16C7">
        <w:rPr>
          <w:rFonts w:ascii="Segoe UI" w:hAnsi="Segoe UI" w:cs="Segoe UI"/>
        </w:rPr>
        <w:t>%</w:t>
      </w:r>
      <w:r w:rsidR="00D97F09">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he</w:t>
      </w:r>
      <w:r w:rsidR="00AC66D8">
        <w:rPr>
          <w:rFonts w:ascii="Segoe UI" w:hAnsi="Segoe UI" w:cs="Segoe UI"/>
        </w:rPr>
        <w:t>s</w:t>
      </w:r>
      <w:r w:rsidR="003E16C7">
        <w:rPr>
          <w:rFonts w:ascii="Segoe UI" w:hAnsi="Segoe UI" w:cs="Segoe UI"/>
        </w:rPr>
        <w:t>e</w:t>
      </w:r>
      <w:r w:rsidR="00AC66D8">
        <w:rPr>
          <w:rFonts w:ascii="Segoe UI" w:hAnsi="Segoe UI" w:cs="Segoe UI"/>
        </w:rPr>
        <w:t xml:space="preserve"> sector</w:t>
      </w:r>
      <w:r w:rsidR="003E16C7">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701EDA">
        <w:rPr>
          <w:rFonts w:ascii="Segoe UI" w:hAnsi="Segoe UI" w:cs="Segoe UI"/>
        </w:rPr>
        <w:t>Folkestone &amp; Hythe</w:t>
      </w:r>
      <w:r w:rsidR="00FF041A">
        <w:rPr>
          <w:rFonts w:ascii="Segoe UI" w:hAnsi="Segoe UI" w:cs="Segoe UI"/>
        </w:rPr>
        <w:t xml:space="preserve"> were</w:t>
      </w:r>
      <w:r w:rsidR="00DB1D4E">
        <w:rPr>
          <w:rFonts w:ascii="Segoe UI" w:hAnsi="Segoe UI" w:cs="Segoe UI"/>
        </w:rPr>
        <w:t xml:space="preserve"> </w:t>
      </w:r>
      <w:r w:rsidR="00C2012E">
        <w:rPr>
          <w:rFonts w:ascii="Segoe UI" w:hAnsi="Segoe UI" w:cs="Segoe UI"/>
        </w:rPr>
        <w:t xml:space="preserve">Retail, </w:t>
      </w:r>
      <w:r w:rsidR="003E7AE7">
        <w:rPr>
          <w:rFonts w:ascii="Segoe UI" w:hAnsi="Segoe UI" w:cs="Segoe UI"/>
        </w:rPr>
        <w:t>Health</w:t>
      </w:r>
      <w:r w:rsidR="0057291F">
        <w:rPr>
          <w:rFonts w:ascii="Segoe UI" w:hAnsi="Segoe UI" w:cs="Segoe UI"/>
        </w:rPr>
        <w:t xml:space="preserve"> </w:t>
      </w:r>
      <w:r w:rsidR="0050262C">
        <w:rPr>
          <w:rFonts w:ascii="Segoe UI" w:hAnsi="Segoe UI" w:cs="Segoe UI"/>
        </w:rPr>
        <w:t>and Accommodation &amp; Food Services</w:t>
      </w:r>
      <w:r w:rsidR="009A7D5A">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3E7AE7">
        <w:rPr>
          <w:rFonts w:ascii="Segoe UI" w:hAnsi="Segoe UI" w:cs="Segoe UI"/>
        </w:rPr>
        <w:t>1</w:t>
      </w:r>
      <w:r w:rsidR="00701EDA">
        <w:rPr>
          <w:rFonts w:ascii="Segoe UI" w:hAnsi="Segoe UI" w:cs="Segoe UI"/>
        </w:rPr>
        <w:t>9</w:t>
      </w:r>
      <w:r w:rsidR="003E7AE7">
        <w:rPr>
          <w:rFonts w:ascii="Segoe UI" w:hAnsi="Segoe UI" w:cs="Segoe UI"/>
        </w:rPr>
        <w:t>.2</w:t>
      </w:r>
      <w:r w:rsidR="00266A34">
        <w:rPr>
          <w:rFonts w:ascii="Segoe UI" w:hAnsi="Segoe UI" w:cs="Segoe UI"/>
        </w:rPr>
        <w:t>%</w:t>
      </w:r>
      <w:r w:rsidR="003E16C7">
        <w:rPr>
          <w:rFonts w:ascii="Segoe UI" w:hAnsi="Segoe UI" w:cs="Segoe UI"/>
        </w:rPr>
        <w:t>,</w:t>
      </w:r>
      <w:r w:rsidR="003E7AE7">
        <w:rPr>
          <w:rFonts w:ascii="Segoe UI" w:hAnsi="Segoe UI" w:cs="Segoe UI"/>
        </w:rPr>
        <w:t xml:space="preserve"> </w:t>
      </w:r>
      <w:r w:rsidR="00701EDA">
        <w:rPr>
          <w:rFonts w:ascii="Segoe UI" w:hAnsi="Segoe UI" w:cs="Segoe UI"/>
        </w:rPr>
        <w:t>17.3</w:t>
      </w:r>
      <w:r w:rsidR="00A13944">
        <w:rPr>
          <w:rFonts w:ascii="Segoe UI" w:hAnsi="Segoe UI" w:cs="Segoe UI"/>
        </w:rPr>
        <w:t>%</w:t>
      </w:r>
      <w:r w:rsidR="003A67DE">
        <w:rPr>
          <w:rFonts w:ascii="Segoe UI" w:hAnsi="Segoe UI" w:cs="Segoe UI"/>
        </w:rPr>
        <w:t xml:space="preserve"> </w:t>
      </w:r>
      <w:r w:rsidR="00A940B8">
        <w:rPr>
          <w:rFonts w:ascii="Segoe UI" w:hAnsi="Segoe UI" w:cs="Segoe UI"/>
        </w:rPr>
        <w:t xml:space="preserve">and </w:t>
      </w:r>
      <w:r w:rsidR="00701EDA">
        <w:rPr>
          <w:rFonts w:ascii="Segoe UI" w:hAnsi="Segoe UI" w:cs="Segoe UI"/>
        </w:rPr>
        <w:t>15.4</w:t>
      </w:r>
      <w:r w:rsidR="00831B0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701EDA">
        <w:rPr>
          <w:rFonts w:ascii="Segoe UI" w:hAnsi="Segoe UI" w:cs="Segoe UI"/>
          <w:u w:val="single"/>
        </w:rPr>
        <w:t>Folkestone &amp; Hythe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701EDA">
        <w:rPr>
          <w:rFonts w:ascii="Segoe UI" w:hAnsi="Segoe UI" w:cs="Segoe UI"/>
        </w:rPr>
        <w:t>Folkestone &amp; Hythe</w:t>
      </w:r>
      <w:r w:rsidR="007301BD">
        <w:rPr>
          <w:rFonts w:ascii="Segoe UI" w:hAnsi="Segoe UI" w:cs="Segoe UI"/>
        </w:rPr>
        <w:t xml:space="preserve"> are</w:t>
      </w:r>
      <w:r w:rsidR="00387361">
        <w:rPr>
          <w:rFonts w:ascii="Segoe UI" w:hAnsi="Segoe UI" w:cs="Segoe UI"/>
        </w:rPr>
        <w:t xml:space="preserve"> </w:t>
      </w:r>
      <w:r w:rsidR="00DB1D4E">
        <w:rPr>
          <w:rFonts w:ascii="Segoe UI" w:hAnsi="Segoe UI" w:cs="Segoe UI"/>
        </w:rPr>
        <w:t xml:space="preserve">Professional, Scientific &amp; Technical, </w:t>
      </w:r>
      <w:r w:rsidR="003E7AE7">
        <w:rPr>
          <w:rFonts w:ascii="Segoe UI" w:hAnsi="Segoe UI" w:cs="Segoe UI"/>
        </w:rPr>
        <w:t xml:space="preserve">Construction </w:t>
      </w:r>
      <w:r w:rsidR="00DB1D4E">
        <w:rPr>
          <w:rFonts w:ascii="Segoe UI" w:hAnsi="Segoe UI" w:cs="Segoe UI"/>
        </w:rPr>
        <w:t>and</w:t>
      </w:r>
      <w:r w:rsidR="003A67DE">
        <w:rPr>
          <w:rFonts w:ascii="Segoe UI" w:hAnsi="Segoe UI" w:cs="Segoe UI"/>
        </w:rPr>
        <w:t xml:space="preserve"> </w:t>
      </w:r>
      <w:r w:rsidR="00701EDA">
        <w:rPr>
          <w:rFonts w:ascii="Segoe UI" w:hAnsi="Segoe UI" w:cs="Segoe UI"/>
        </w:rPr>
        <w:t>Accommodation &amp; Food</w:t>
      </w:r>
      <w:r w:rsidR="003E7AE7">
        <w:rPr>
          <w:rFonts w:ascii="Segoe UI" w:hAnsi="Segoe UI" w:cs="Segoe UI"/>
        </w:rPr>
        <w:t xml:space="preserve"> Services</w:t>
      </w:r>
      <w:r w:rsidR="0050262C">
        <w:rPr>
          <w:rFonts w:ascii="Segoe UI" w:hAnsi="Segoe UI" w:cs="Segoe UI"/>
        </w:rPr>
        <w:t xml:space="preserve"> </w:t>
      </w:r>
      <w:r w:rsidR="009264D1">
        <w:rPr>
          <w:rFonts w:ascii="Segoe UI" w:hAnsi="Segoe UI" w:cs="Segoe UI"/>
        </w:rPr>
        <w:t xml:space="preserve">with </w:t>
      </w:r>
      <w:r w:rsidR="00701EDA">
        <w:rPr>
          <w:rFonts w:ascii="Segoe UI" w:hAnsi="Segoe UI" w:cs="Segoe UI"/>
        </w:rPr>
        <w:t>16.6</w:t>
      </w:r>
      <w:r>
        <w:rPr>
          <w:rFonts w:ascii="Segoe UI" w:hAnsi="Segoe UI" w:cs="Segoe UI"/>
        </w:rPr>
        <w:t>%</w:t>
      </w:r>
      <w:r w:rsidR="00250EDD">
        <w:rPr>
          <w:rFonts w:ascii="Segoe UI" w:hAnsi="Segoe UI" w:cs="Segoe UI"/>
        </w:rPr>
        <w:t>,</w:t>
      </w:r>
      <w:r w:rsidR="003A67DE">
        <w:rPr>
          <w:rFonts w:ascii="Segoe UI" w:hAnsi="Segoe UI" w:cs="Segoe UI"/>
        </w:rPr>
        <w:t xml:space="preserve"> </w:t>
      </w:r>
      <w:r w:rsidR="002C6B54">
        <w:rPr>
          <w:rFonts w:ascii="Segoe UI" w:hAnsi="Segoe UI" w:cs="Segoe UI"/>
        </w:rPr>
        <w:t>15.6</w:t>
      </w:r>
      <w:r w:rsidR="00266A34">
        <w:rPr>
          <w:rFonts w:ascii="Segoe UI" w:hAnsi="Segoe UI" w:cs="Segoe UI"/>
        </w:rPr>
        <w:t xml:space="preserve">% and </w:t>
      </w:r>
      <w:r w:rsidR="002C6B54">
        <w:rPr>
          <w:rFonts w:ascii="Segoe UI" w:hAnsi="Segoe UI" w:cs="Segoe UI"/>
        </w:rPr>
        <w:t>9.1</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1717"/>
    <w:rsid w:val="00034AE0"/>
    <w:rsid w:val="00037AAA"/>
    <w:rsid w:val="0004798C"/>
    <w:rsid w:val="000537CC"/>
    <w:rsid w:val="00075447"/>
    <w:rsid w:val="000860DD"/>
    <w:rsid w:val="000B31DD"/>
    <w:rsid w:val="000B42C9"/>
    <w:rsid w:val="000B5BC6"/>
    <w:rsid w:val="000C57E2"/>
    <w:rsid w:val="000C6C9A"/>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4B0A"/>
    <w:rsid w:val="00137983"/>
    <w:rsid w:val="001416F4"/>
    <w:rsid w:val="001439D5"/>
    <w:rsid w:val="00145E03"/>
    <w:rsid w:val="00153631"/>
    <w:rsid w:val="00162828"/>
    <w:rsid w:val="00163203"/>
    <w:rsid w:val="00173523"/>
    <w:rsid w:val="00174D49"/>
    <w:rsid w:val="00187541"/>
    <w:rsid w:val="0019092A"/>
    <w:rsid w:val="00195B84"/>
    <w:rsid w:val="001971A6"/>
    <w:rsid w:val="001A15A5"/>
    <w:rsid w:val="001A5750"/>
    <w:rsid w:val="001B003E"/>
    <w:rsid w:val="001C4E49"/>
    <w:rsid w:val="001D2D23"/>
    <w:rsid w:val="001E5A94"/>
    <w:rsid w:val="001E71D8"/>
    <w:rsid w:val="0020411F"/>
    <w:rsid w:val="0020423D"/>
    <w:rsid w:val="00205E22"/>
    <w:rsid w:val="002159C4"/>
    <w:rsid w:val="00225A81"/>
    <w:rsid w:val="00225CBC"/>
    <w:rsid w:val="00230CF6"/>
    <w:rsid w:val="002408BD"/>
    <w:rsid w:val="00240DBA"/>
    <w:rsid w:val="00250EDD"/>
    <w:rsid w:val="00251623"/>
    <w:rsid w:val="00254884"/>
    <w:rsid w:val="002555C8"/>
    <w:rsid w:val="00256D31"/>
    <w:rsid w:val="00257FBA"/>
    <w:rsid w:val="00266A34"/>
    <w:rsid w:val="00273B7A"/>
    <w:rsid w:val="00274ED9"/>
    <w:rsid w:val="002762DA"/>
    <w:rsid w:val="00281F54"/>
    <w:rsid w:val="00295AEC"/>
    <w:rsid w:val="002A3140"/>
    <w:rsid w:val="002A4CE5"/>
    <w:rsid w:val="002A7F64"/>
    <w:rsid w:val="002B2FB9"/>
    <w:rsid w:val="002C6B54"/>
    <w:rsid w:val="002D30E8"/>
    <w:rsid w:val="002D3175"/>
    <w:rsid w:val="002D62CB"/>
    <w:rsid w:val="002E44F5"/>
    <w:rsid w:val="002F0A40"/>
    <w:rsid w:val="002F3154"/>
    <w:rsid w:val="00304514"/>
    <w:rsid w:val="00314FF2"/>
    <w:rsid w:val="00330416"/>
    <w:rsid w:val="00343B13"/>
    <w:rsid w:val="003507A7"/>
    <w:rsid w:val="00351C53"/>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9A3"/>
    <w:rsid w:val="003D18FF"/>
    <w:rsid w:val="003D49EB"/>
    <w:rsid w:val="003E086A"/>
    <w:rsid w:val="003E0C93"/>
    <w:rsid w:val="003E16C7"/>
    <w:rsid w:val="003E7AE7"/>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D5C86"/>
    <w:rsid w:val="004E6628"/>
    <w:rsid w:val="004F47CB"/>
    <w:rsid w:val="00500FD5"/>
    <w:rsid w:val="0050262C"/>
    <w:rsid w:val="005045E5"/>
    <w:rsid w:val="00510BE4"/>
    <w:rsid w:val="00512126"/>
    <w:rsid w:val="005211AC"/>
    <w:rsid w:val="00524321"/>
    <w:rsid w:val="0052687F"/>
    <w:rsid w:val="00530FFF"/>
    <w:rsid w:val="00533FF5"/>
    <w:rsid w:val="00541BA8"/>
    <w:rsid w:val="005445B5"/>
    <w:rsid w:val="00545A25"/>
    <w:rsid w:val="0054613A"/>
    <w:rsid w:val="00555F9F"/>
    <w:rsid w:val="00557B7F"/>
    <w:rsid w:val="00563BBD"/>
    <w:rsid w:val="00566824"/>
    <w:rsid w:val="00567BD5"/>
    <w:rsid w:val="0057291F"/>
    <w:rsid w:val="00575E1E"/>
    <w:rsid w:val="00582D6A"/>
    <w:rsid w:val="00583594"/>
    <w:rsid w:val="00585222"/>
    <w:rsid w:val="00587D4E"/>
    <w:rsid w:val="00597A8A"/>
    <w:rsid w:val="005B6BE1"/>
    <w:rsid w:val="005C460C"/>
    <w:rsid w:val="005E1142"/>
    <w:rsid w:val="005E7B83"/>
    <w:rsid w:val="00600EBE"/>
    <w:rsid w:val="00604F05"/>
    <w:rsid w:val="0061439A"/>
    <w:rsid w:val="00621EF4"/>
    <w:rsid w:val="00624952"/>
    <w:rsid w:val="006379F8"/>
    <w:rsid w:val="0064321A"/>
    <w:rsid w:val="0065034B"/>
    <w:rsid w:val="00653949"/>
    <w:rsid w:val="00655D3B"/>
    <w:rsid w:val="006646D6"/>
    <w:rsid w:val="00673908"/>
    <w:rsid w:val="00675025"/>
    <w:rsid w:val="00677819"/>
    <w:rsid w:val="00692E85"/>
    <w:rsid w:val="006931D7"/>
    <w:rsid w:val="00693BC7"/>
    <w:rsid w:val="006A3967"/>
    <w:rsid w:val="006A58A6"/>
    <w:rsid w:val="006D33F0"/>
    <w:rsid w:val="006D42F1"/>
    <w:rsid w:val="006E41CF"/>
    <w:rsid w:val="006E44F5"/>
    <w:rsid w:val="006E6F7B"/>
    <w:rsid w:val="006F4FD3"/>
    <w:rsid w:val="006F58D0"/>
    <w:rsid w:val="006F6850"/>
    <w:rsid w:val="00701EDA"/>
    <w:rsid w:val="0070268E"/>
    <w:rsid w:val="0070541D"/>
    <w:rsid w:val="0071096F"/>
    <w:rsid w:val="00723BD3"/>
    <w:rsid w:val="007275C8"/>
    <w:rsid w:val="007301BD"/>
    <w:rsid w:val="0074160A"/>
    <w:rsid w:val="0074348D"/>
    <w:rsid w:val="00754898"/>
    <w:rsid w:val="007726D8"/>
    <w:rsid w:val="007748A6"/>
    <w:rsid w:val="00777584"/>
    <w:rsid w:val="00784B29"/>
    <w:rsid w:val="00785C66"/>
    <w:rsid w:val="00786635"/>
    <w:rsid w:val="007870E0"/>
    <w:rsid w:val="00787CA1"/>
    <w:rsid w:val="007A0435"/>
    <w:rsid w:val="007A5096"/>
    <w:rsid w:val="007A509C"/>
    <w:rsid w:val="007A73F0"/>
    <w:rsid w:val="007B2EF3"/>
    <w:rsid w:val="007B360E"/>
    <w:rsid w:val="007C55DC"/>
    <w:rsid w:val="007C5899"/>
    <w:rsid w:val="007E65D3"/>
    <w:rsid w:val="007F1832"/>
    <w:rsid w:val="00801003"/>
    <w:rsid w:val="0080737E"/>
    <w:rsid w:val="00810505"/>
    <w:rsid w:val="0081487D"/>
    <w:rsid w:val="00815D2B"/>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A05C4"/>
    <w:rsid w:val="008B2D2D"/>
    <w:rsid w:val="008B61D0"/>
    <w:rsid w:val="008C2804"/>
    <w:rsid w:val="008C2AD5"/>
    <w:rsid w:val="008C37E5"/>
    <w:rsid w:val="008C392C"/>
    <w:rsid w:val="008D337A"/>
    <w:rsid w:val="008D39B8"/>
    <w:rsid w:val="008D66C0"/>
    <w:rsid w:val="008E16AB"/>
    <w:rsid w:val="008E54A6"/>
    <w:rsid w:val="008E7679"/>
    <w:rsid w:val="008F3CBB"/>
    <w:rsid w:val="009121EB"/>
    <w:rsid w:val="00920E1B"/>
    <w:rsid w:val="00921EFB"/>
    <w:rsid w:val="009264D1"/>
    <w:rsid w:val="00934C93"/>
    <w:rsid w:val="0094742C"/>
    <w:rsid w:val="009528EC"/>
    <w:rsid w:val="009543EE"/>
    <w:rsid w:val="00963D1C"/>
    <w:rsid w:val="00966258"/>
    <w:rsid w:val="00974D4B"/>
    <w:rsid w:val="0098799B"/>
    <w:rsid w:val="009902B8"/>
    <w:rsid w:val="00990CEF"/>
    <w:rsid w:val="00991FC6"/>
    <w:rsid w:val="0099362A"/>
    <w:rsid w:val="009A2CF2"/>
    <w:rsid w:val="009A7D5A"/>
    <w:rsid w:val="009B5673"/>
    <w:rsid w:val="009C02F2"/>
    <w:rsid w:val="009C272C"/>
    <w:rsid w:val="009C3472"/>
    <w:rsid w:val="009C3A39"/>
    <w:rsid w:val="009C5500"/>
    <w:rsid w:val="009E216D"/>
    <w:rsid w:val="009E309F"/>
    <w:rsid w:val="009E63CD"/>
    <w:rsid w:val="009F788E"/>
    <w:rsid w:val="00A120AC"/>
    <w:rsid w:val="00A122EC"/>
    <w:rsid w:val="00A13944"/>
    <w:rsid w:val="00A20486"/>
    <w:rsid w:val="00A37814"/>
    <w:rsid w:val="00A4395C"/>
    <w:rsid w:val="00A46831"/>
    <w:rsid w:val="00A46AAA"/>
    <w:rsid w:val="00A57F92"/>
    <w:rsid w:val="00A61248"/>
    <w:rsid w:val="00A628A4"/>
    <w:rsid w:val="00A6694D"/>
    <w:rsid w:val="00A7203A"/>
    <w:rsid w:val="00A83E4C"/>
    <w:rsid w:val="00A940B8"/>
    <w:rsid w:val="00AA12D5"/>
    <w:rsid w:val="00AA4EAF"/>
    <w:rsid w:val="00AA597B"/>
    <w:rsid w:val="00AB2A17"/>
    <w:rsid w:val="00AC38CD"/>
    <w:rsid w:val="00AC3D7B"/>
    <w:rsid w:val="00AC66D8"/>
    <w:rsid w:val="00AE00CB"/>
    <w:rsid w:val="00AE3362"/>
    <w:rsid w:val="00AE5DBC"/>
    <w:rsid w:val="00AF63AA"/>
    <w:rsid w:val="00B00814"/>
    <w:rsid w:val="00B04094"/>
    <w:rsid w:val="00B22D3D"/>
    <w:rsid w:val="00B26109"/>
    <w:rsid w:val="00B30792"/>
    <w:rsid w:val="00B30A63"/>
    <w:rsid w:val="00B3304B"/>
    <w:rsid w:val="00B44123"/>
    <w:rsid w:val="00B44C2A"/>
    <w:rsid w:val="00B53700"/>
    <w:rsid w:val="00B64853"/>
    <w:rsid w:val="00B66EC4"/>
    <w:rsid w:val="00B6778F"/>
    <w:rsid w:val="00B809FD"/>
    <w:rsid w:val="00B81EF6"/>
    <w:rsid w:val="00B82315"/>
    <w:rsid w:val="00B839FB"/>
    <w:rsid w:val="00B86569"/>
    <w:rsid w:val="00B902DC"/>
    <w:rsid w:val="00B9254C"/>
    <w:rsid w:val="00BA29A5"/>
    <w:rsid w:val="00BA3E2B"/>
    <w:rsid w:val="00BB5337"/>
    <w:rsid w:val="00BC2E51"/>
    <w:rsid w:val="00BD23C3"/>
    <w:rsid w:val="00BD2541"/>
    <w:rsid w:val="00BE5674"/>
    <w:rsid w:val="00BF0BE9"/>
    <w:rsid w:val="00BF44B3"/>
    <w:rsid w:val="00C00BF6"/>
    <w:rsid w:val="00C067F1"/>
    <w:rsid w:val="00C12824"/>
    <w:rsid w:val="00C2012E"/>
    <w:rsid w:val="00C26302"/>
    <w:rsid w:val="00C27833"/>
    <w:rsid w:val="00C35A9C"/>
    <w:rsid w:val="00C468CE"/>
    <w:rsid w:val="00C60E60"/>
    <w:rsid w:val="00C66719"/>
    <w:rsid w:val="00CA077C"/>
    <w:rsid w:val="00CA07D6"/>
    <w:rsid w:val="00CA0A4D"/>
    <w:rsid w:val="00CA5D91"/>
    <w:rsid w:val="00CC7140"/>
    <w:rsid w:val="00CD176D"/>
    <w:rsid w:val="00CD2F9D"/>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598"/>
    <w:rsid w:val="00D83F68"/>
    <w:rsid w:val="00D97F09"/>
    <w:rsid w:val="00DA198D"/>
    <w:rsid w:val="00DA54B8"/>
    <w:rsid w:val="00DA7024"/>
    <w:rsid w:val="00DB0C84"/>
    <w:rsid w:val="00DB1D4E"/>
    <w:rsid w:val="00DB466D"/>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7998"/>
    <w:rsid w:val="00E515F4"/>
    <w:rsid w:val="00E63805"/>
    <w:rsid w:val="00EA220B"/>
    <w:rsid w:val="00EB0284"/>
    <w:rsid w:val="00EB6085"/>
    <w:rsid w:val="00EC1734"/>
    <w:rsid w:val="00EC7330"/>
    <w:rsid w:val="00ED2B4F"/>
    <w:rsid w:val="00ED51EE"/>
    <w:rsid w:val="00ED59C5"/>
    <w:rsid w:val="00EE11F9"/>
    <w:rsid w:val="00EE29BA"/>
    <w:rsid w:val="00EE339D"/>
    <w:rsid w:val="00EE360F"/>
    <w:rsid w:val="00EE67FD"/>
    <w:rsid w:val="00EF5EFE"/>
    <w:rsid w:val="00EF696D"/>
    <w:rsid w:val="00F06BCB"/>
    <w:rsid w:val="00F06E52"/>
    <w:rsid w:val="00F10FCE"/>
    <w:rsid w:val="00F311B7"/>
    <w:rsid w:val="00F37434"/>
    <w:rsid w:val="00F60860"/>
    <w:rsid w:val="00F624C0"/>
    <w:rsid w:val="00F74949"/>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Folkestone &amp; Hythe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61.599391734519067</c:v>
                </c:pt>
                <c:pt idx="2">
                  <c:v>61.751064114065393</c:v>
                </c:pt>
                <c:pt idx="3">
                  <c:v>61.554542358772558</c:v>
                </c:pt>
                <c:pt idx="4">
                  <c:v>61.595706886557842</c:v>
                </c:pt>
                <c:pt idx="5">
                  <c:v>61.278754886828899</c:v>
                </c:pt>
                <c:pt idx="6">
                  <c:v>60.504000515601554</c:v>
                </c:pt>
                <c:pt idx="7">
                  <c:v>59.89500491877132</c:v>
                </c:pt>
                <c:pt idx="8">
                  <c:v>59.553254546119788</c:v>
                </c:pt>
                <c:pt idx="9">
                  <c:v>59.329193903749157</c:v>
                </c:pt>
                <c:pt idx="10">
                  <c:v>59.073713791612626</c:v>
                </c:pt>
                <c:pt idx="11">
                  <c:v>58.790957308372299</c:v>
                </c:pt>
              </c:numCache>
            </c:numRef>
          </c:val>
        </c:ser>
        <c:marker val="1"/>
        <c:axId val="169694336"/>
        <c:axId val="169695872"/>
      </c:lineChart>
      <c:catAx>
        <c:axId val="169694336"/>
        <c:scaling>
          <c:orientation val="minMax"/>
        </c:scaling>
        <c:axPos val="b"/>
        <c:numFmt formatCode="General" sourceLinked="1"/>
        <c:tickLblPos val="nextTo"/>
        <c:txPr>
          <a:bodyPr/>
          <a:lstStyle/>
          <a:p>
            <a:pPr>
              <a:defRPr sz="900"/>
            </a:pPr>
            <a:endParaRPr lang="en-US"/>
          </a:p>
        </c:txPr>
        <c:crossAx val="169695872"/>
        <c:crosses val="autoZero"/>
        <c:auto val="1"/>
        <c:lblAlgn val="ctr"/>
        <c:lblOffset val="100"/>
      </c:catAx>
      <c:valAx>
        <c:axId val="169695872"/>
        <c:scaling>
          <c:orientation val="minMax"/>
        </c:scaling>
        <c:axPos val="l"/>
        <c:majorGridlines/>
        <c:title>
          <c:tx>
            <c:rich>
              <a:bodyPr rot="0" vert="horz"/>
              <a:lstStyle/>
              <a:p>
                <a:pPr>
                  <a:defRPr/>
                </a:pPr>
                <a:r>
                  <a:rPr lang="en-US"/>
                  <a:t>%</a:t>
                </a:r>
              </a:p>
            </c:rich>
          </c:tx>
          <c:layout/>
        </c:title>
        <c:numFmt formatCode="General" sourceLinked="1"/>
        <c:tickLblPos val="nextTo"/>
        <c:crossAx val="169694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Folkestone &amp; Hythe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2.7</c:v>
                </c:pt>
                <c:pt idx="1">
                  <c:v>2.4</c:v>
                </c:pt>
                <c:pt idx="2">
                  <c:v>2.6</c:v>
                </c:pt>
              </c:numCache>
            </c:numRef>
          </c:val>
        </c:ser>
        <c:axId val="170681088"/>
        <c:axId val="17068262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0681088"/>
        <c:axId val="170682624"/>
      </c:lineChart>
      <c:catAx>
        <c:axId val="170681088"/>
        <c:scaling>
          <c:orientation val="minMax"/>
        </c:scaling>
        <c:axPos val="b"/>
        <c:numFmt formatCode="General" sourceLinked="1"/>
        <c:tickLblPos val="nextTo"/>
        <c:txPr>
          <a:bodyPr/>
          <a:lstStyle/>
          <a:p>
            <a:pPr>
              <a:defRPr sz="800"/>
            </a:pPr>
            <a:endParaRPr lang="en-US"/>
          </a:p>
        </c:txPr>
        <c:crossAx val="170682624"/>
        <c:crosses val="autoZero"/>
        <c:auto val="1"/>
        <c:lblAlgn val="ctr"/>
        <c:lblOffset val="100"/>
      </c:catAx>
      <c:valAx>
        <c:axId val="170682624"/>
        <c:scaling>
          <c:orientation val="minMax"/>
        </c:scaling>
        <c:axPos val="l"/>
        <c:majorGridlines/>
        <c:title>
          <c:tx>
            <c:rich>
              <a:bodyPr rot="0" vert="horz"/>
              <a:lstStyle/>
              <a:p>
                <a:pPr>
                  <a:defRPr/>
                </a:pPr>
                <a:r>
                  <a:rPr lang="en-US"/>
                  <a:t>%</a:t>
                </a:r>
              </a:p>
            </c:rich>
          </c:tx>
          <c:layout/>
        </c:title>
        <c:numFmt formatCode="General" sourceLinked="1"/>
        <c:tickLblPos val="nextTo"/>
        <c:crossAx val="1706810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Folkestone &amp; Hythe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0.32154340836012862</c:v>
                </c:pt>
                <c:pt idx="2">
                  <c:v>0.32786885245901637</c:v>
                </c:pt>
                <c:pt idx="3">
                  <c:v>0.322061191626409</c:v>
                </c:pt>
                <c:pt idx="4">
                  <c:v>0.48701298701298701</c:v>
                </c:pt>
                <c:pt idx="5">
                  <c:v>0.31595576619273302</c:v>
                </c:pt>
                <c:pt idx="6">
                  <c:v>0.29154518950437319</c:v>
                </c:pt>
                <c:pt idx="7">
                  <c:v>0.27816411682892905</c:v>
                </c:pt>
                <c:pt idx="8">
                  <c:v>0.26595744680851063</c:v>
                </c:pt>
                <c:pt idx="9">
                  <c:v>0.27173913043478259</c:v>
                </c:pt>
              </c:numCache>
            </c:numRef>
          </c:val>
        </c:ser>
        <c:axId val="170722432"/>
        <c:axId val="17072396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0722432"/>
        <c:axId val="170723968"/>
      </c:lineChart>
      <c:catAx>
        <c:axId val="170722432"/>
        <c:scaling>
          <c:orientation val="minMax"/>
        </c:scaling>
        <c:axPos val="b"/>
        <c:numFmt formatCode="General" sourceLinked="1"/>
        <c:tickLblPos val="nextTo"/>
        <c:txPr>
          <a:bodyPr/>
          <a:lstStyle/>
          <a:p>
            <a:pPr>
              <a:defRPr sz="800"/>
            </a:pPr>
            <a:endParaRPr lang="en-US"/>
          </a:p>
        </c:txPr>
        <c:crossAx val="170723968"/>
        <c:crosses val="autoZero"/>
        <c:auto val="1"/>
        <c:lblAlgn val="ctr"/>
        <c:lblOffset val="100"/>
      </c:catAx>
      <c:valAx>
        <c:axId val="170723968"/>
        <c:scaling>
          <c:orientation val="minMax"/>
        </c:scaling>
        <c:axPos val="l"/>
        <c:majorGridlines/>
        <c:title>
          <c:tx>
            <c:rich>
              <a:bodyPr rot="0" vert="horz"/>
              <a:lstStyle/>
              <a:p>
                <a:pPr>
                  <a:defRPr/>
                </a:pPr>
                <a:r>
                  <a:rPr lang="en-US"/>
                  <a:t>%</a:t>
                </a:r>
              </a:p>
            </c:rich>
          </c:tx>
          <c:layout/>
        </c:title>
        <c:numFmt formatCode="General" sourceLinked="1"/>
        <c:tickLblPos val="nextTo"/>
        <c:crossAx val="170722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Folkestone &amp; Hythe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4.7</c:v>
                </c:pt>
                <c:pt idx="1">
                  <c:v>4.7</c:v>
                </c:pt>
                <c:pt idx="2">
                  <c:v>4.3</c:v>
                </c:pt>
              </c:numCache>
            </c:numRef>
          </c:val>
        </c:ser>
        <c:axId val="170767872"/>
        <c:axId val="17076940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0767872"/>
        <c:axId val="170769408"/>
      </c:lineChart>
      <c:catAx>
        <c:axId val="170767872"/>
        <c:scaling>
          <c:orientation val="minMax"/>
        </c:scaling>
        <c:axPos val="b"/>
        <c:numFmt formatCode="General" sourceLinked="1"/>
        <c:tickLblPos val="nextTo"/>
        <c:txPr>
          <a:bodyPr/>
          <a:lstStyle/>
          <a:p>
            <a:pPr>
              <a:defRPr sz="800"/>
            </a:pPr>
            <a:endParaRPr lang="en-US"/>
          </a:p>
        </c:txPr>
        <c:crossAx val="170769408"/>
        <c:crosses val="autoZero"/>
        <c:auto val="1"/>
        <c:lblAlgn val="ctr"/>
        <c:lblOffset val="100"/>
      </c:catAx>
      <c:valAx>
        <c:axId val="170769408"/>
        <c:scaling>
          <c:orientation val="minMax"/>
        </c:scaling>
        <c:axPos val="l"/>
        <c:majorGridlines/>
        <c:title>
          <c:tx>
            <c:rich>
              <a:bodyPr rot="0" vert="horz"/>
              <a:lstStyle/>
              <a:p>
                <a:pPr>
                  <a:defRPr/>
                </a:pPr>
                <a:r>
                  <a:rPr lang="en-US"/>
                  <a:t>%</a:t>
                </a:r>
              </a:p>
            </c:rich>
          </c:tx>
          <c:layout/>
        </c:title>
        <c:numFmt formatCode="General" sourceLinked="1"/>
        <c:tickLblPos val="nextTo"/>
        <c:crossAx val="17076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Folkestone &amp; Hythe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4.662379421221865</c:v>
                </c:pt>
                <c:pt idx="2">
                  <c:v>4.7540983606557381</c:v>
                </c:pt>
                <c:pt idx="3">
                  <c:v>4.6698872785829311</c:v>
                </c:pt>
                <c:pt idx="4">
                  <c:v>4.7077922077922079</c:v>
                </c:pt>
                <c:pt idx="5">
                  <c:v>4.5813586097946288</c:v>
                </c:pt>
                <c:pt idx="6">
                  <c:v>4.518950437317784</c:v>
                </c:pt>
                <c:pt idx="7">
                  <c:v>4.5897079276773294</c:v>
                </c:pt>
                <c:pt idx="8">
                  <c:v>4.3882978723404253</c:v>
                </c:pt>
                <c:pt idx="9">
                  <c:v>4.4836956521739131</c:v>
                </c:pt>
              </c:numCache>
            </c:numRef>
          </c:val>
        </c:ser>
        <c:axId val="170825600"/>
        <c:axId val="17082713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0825600"/>
        <c:axId val="170827136"/>
      </c:lineChart>
      <c:catAx>
        <c:axId val="170825600"/>
        <c:scaling>
          <c:orientation val="minMax"/>
        </c:scaling>
        <c:axPos val="b"/>
        <c:numFmt formatCode="General" sourceLinked="1"/>
        <c:tickLblPos val="nextTo"/>
        <c:txPr>
          <a:bodyPr/>
          <a:lstStyle/>
          <a:p>
            <a:pPr>
              <a:defRPr sz="800"/>
            </a:pPr>
            <a:endParaRPr lang="en-US"/>
          </a:p>
        </c:txPr>
        <c:crossAx val="170827136"/>
        <c:crosses val="autoZero"/>
        <c:auto val="1"/>
        <c:lblAlgn val="ctr"/>
        <c:lblOffset val="100"/>
      </c:catAx>
      <c:valAx>
        <c:axId val="170827136"/>
        <c:scaling>
          <c:orientation val="minMax"/>
        </c:scaling>
        <c:axPos val="l"/>
        <c:majorGridlines/>
        <c:title>
          <c:tx>
            <c:rich>
              <a:bodyPr rot="0" vert="horz"/>
              <a:lstStyle/>
              <a:p>
                <a:pPr>
                  <a:defRPr/>
                </a:pPr>
                <a:r>
                  <a:rPr lang="en-US"/>
                  <a:t>%</a:t>
                </a:r>
              </a:p>
            </c:rich>
          </c:tx>
          <c:layout/>
        </c:title>
        <c:numFmt formatCode="General" sourceLinked="1"/>
        <c:tickLblPos val="nextTo"/>
        <c:crossAx val="170825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Folkestone &amp; Hythe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4.0999999999999996</c:v>
                </c:pt>
                <c:pt idx="1">
                  <c:v>4.7</c:v>
                </c:pt>
                <c:pt idx="2">
                  <c:v>5</c:v>
                </c:pt>
              </c:numCache>
            </c:numRef>
          </c:val>
        </c:ser>
        <c:axId val="170932480"/>
        <c:axId val="170946560"/>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0932480"/>
        <c:axId val="170946560"/>
      </c:lineChart>
      <c:catAx>
        <c:axId val="170932480"/>
        <c:scaling>
          <c:orientation val="minMax"/>
        </c:scaling>
        <c:axPos val="b"/>
        <c:numFmt formatCode="General" sourceLinked="1"/>
        <c:tickLblPos val="nextTo"/>
        <c:txPr>
          <a:bodyPr/>
          <a:lstStyle/>
          <a:p>
            <a:pPr>
              <a:defRPr sz="800"/>
            </a:pPr>
            <a:endParaRPr lang="en-US"/>
          </a:p>
        </c:txPr>
        <c:crossAx val="170946560"/>
        <c:crosses val="autoZero"/>
        <c:auto val="1"/>
        <c:lblAlgn val="ctr"/>
        <c:lblOffset val="100"/>
      </c:catAx>
      <c:valAx>
        <c:axId val="170946560"/>
        <c:scaling>
          <c:orientation val="minMax"/>
        </c:scaling>
        <c:axPos val="l"/>
        <c:majorGridlines/>
        <c:title>
          <c:tx>
            <c:rich>
              <a:bodyPr rot="0" vert="horz"/>
              <a:lstStyle/>
              <a:p>
                <a:pPr>
                  <a:defRPr/>
                </a:pPr>
                <a:r>
                  <a:rPr lang="en-US"/>
                  <a:t>%</a:t>
                </a:r>
              </a:p>
            </c:rich>
          </c:tx>
          <c:layout/>
        </c:title>
        <c:numFmt formatCode="General" sourceLinked="1"/>
        <c:tickLblPos val="nextTo"/>
        <c:crossAx val="1709324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Folkestone &amp; Hythe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15.594855305466238</c:v>
                </c:pt>
                <c:pt idx="2">
                  <c:v>15.081967213114755</c:v>
                </c:pt>
                <c:pt idx="3">
                  <c:v>14.814814814814815</c:v>
                </c:pt>
                <c:pt idx="4">
                  <c:v>14.935064935064934</c:v>
                </c:pt>
                <c:pt idx="5">
                  <c:v>14.375987361769353</c:v>
                </c:pt>
                <c:pt idx="6">
                  <c:v>14.431486880466473</c:v>
                </c:pt>
                <c:pt idx="7">
                  <c:v>15.020862308762169</c:v>
                </c:pt>
                <c:pt idx="8">
                  <c:v>15.824468085106384</c:v>
                </c:pt>
                <c:pt idx="9">
                  <c:v>15.625</c:v>
                </c:pt>
              </c:numCache>
            </c:numRef>
          </c:val>
        </c:ser>
        <c:axId val="170855040"/>
        <c:axId val="17086502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0855040"/>
        <c:axId val="170865024"/>
      </c:lineChart>
      <c:catAx>
        <c:axId val="170855040"/>
        <c:scaling>
          <c:orientation val="minMax"/>
        </c:scaling>
        <c:axPos val="b"/>
        <c:numFmt formatCode="General" sourceLinked="1"/>
        <c:tickLblPos val="nextTo"/>
        <c:txPr>
          <a:bodyPr/>
          <a:lstStyle/>
          <a:p>
            <a:pPr>
              <a:defRPr sz="800"/>
            </a:pPr>
            <a:endParaRPr lang="en-US"/>
          </a:p>
        </c:txPr>
        <c:crossAx val="170865024"/>
        <c:crosses val="autoZero"/>
        <c:auto val="1"/>
        <c:lblAlgn val="ctr"/>
        <c:lblOffset val="100"/>
      </c:catAx>
      <c:valAx>
        <c:axId val="170865024"/>
        <c:scaling>
          <c:orientation val="minMax"/>
        </c:scaling>
        <c:axPos val="l"/>
        <c:majorGridlines/>
        <c:title>
          <c:tx>
            <c:rich>
              <a:bodyPr rot="0" vert="horz"/>
              <a:lstStyle/>
              <a:p>
                <a:pPr>
                  <a:defRPr/>
                </a:pPr>
                <a:r>
                  <a:rPr lang="en-US"/>
                  <a:t>%</a:t>
                </a:r>
              </a:p>
            </c:rich>
          </c:tx>
          <c:layout/>
        </c:title>
        <c:numFmt formatCode="General" sourceLinked="1"/>
        <c:tickLblPos val="nextTo"/>
        <c:crossAx val="1708550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Folkestone &amp; Hythe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1.6</c:v>
                </c:pt>
                <c:pt idx="1">
                  <c:v>1.6</c:v>
                </c:pt>
                <c:pt idx="2">
                  <c:v>1.7</c:v>
                </c:pt>
              </c:numCache>
            </c:numRef>
          </c:val>
        </c:ser>
        <c:axId val="170892288"/>
        <c:axId val="17091046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0892288"/>
        <c:axId val="170910464"/>
      </c:lineChart>
      <c:catAx>
        <c:axId val="170892288"/>
        <c:scaling>
          <c:orientation val="minMax"/>
        </c:scaling>
        <c:axPos val="b"/>
        <c:numFmt formatCode="General" sourceLinked="1"/>
        <c:tickLblPos val="nextTo"/>
        <c:txPr>
          <a:bodyPr/>
          <a:lstStyle/>
          <a:p>
            <a:pPr>
              <a:defRPr sz="800"/>
            </a:pPr>
            <a:endParaRPr lang="en-US"/>
          </a:p>
        </c:txPr>
        <c:crossAx val="170910464"/>
        <c:crosses val="autoZero"/>
        <c:auto val="1"/>
        <c:lblAlgn val="ctr"/>
        <c:lblOffset val="100"/>
      </c:catAx>
      <c:valAx>
        <c:axId val="170910464"/>
        <c:scaling>
          <c:orientation val="minMax"/>
        </c:scaling>
        <c:axPos val="l"/>
        <c:majorGridlines/>
        <c:title>
          <c:tx>
            <c:rich>
              <a:bodyPr rot="0" vert="horz"/>
              <a:lstStyle/>
              <a:p>
                <a:pPr>
                  <a:defRPr/>
                </a:pPr>
                <a:r>
                  <a:rPr lang="en-US"/>
                  <a:t>%</a:t>
                </a:r>
              </a:p>
            </c:rich>
          </c:tx>
          <c:layout/>
        </c:title>
        <c:numFmt formatCode="General" sourceLinked="1"/>
        <c:tickLblPos val="nextTo"/>
        <c:crossAx val="170892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Folkestone &amp; Hythe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3.697749196141479</c:v>
                </c:pt>
                <c:pt idx="2">
                  <c:v>3.442622950819672</c:v>
                </c:pt>
                <c:pt idx="3">
                  <c:v>3.5426731078904994</c:v>
                </c:pt>
                <c:pt idx="4">
                  <c:v>3.5714285714285716</c:v>
                </c:pt>
                <c:pt idx="5">
                  <c:v>3.3175355450236967</c:v>
                </c:pt>
                <c:pt idx="6">
                  <c:v>3.4985422740524781</c:v>
                </c:pt>
                <c:pt idx="7">
                  <c:v>3.1988873435326841</c:v>
                </c:pt>
                <c:pt idx="8">
                  <c:v>3.3244680851063828</c:v>
                </c:pt>
                <c:pt idx="9">
                  <c:v>3.2608695652173911</c:v>
                </c:pt>
              </c:numCache>
            </c:numRef>
          </c:val>
        </c:ser>
        <c:axId val="171015168"/>
        <c:axId val="17102515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1015168"/>
        <c:axId val="171025152"/>
      </c:lineChart>
      <c:catAx>
        <c:axId val="171015168"/>
        <c:scaling>
          <c:orientation val="minMax"/>
        </c:scaling>
        <c:axPos val="b"/>
        <c:numFmt formatCode="General" sourceLinked="1"/>
        <c:tickLblPos val="nextTo"/>
        <c:txPr>
          <a:bodyPr/>
          <a:lstStyle/>
          <a:p>
            <a:pPr>
              <a:defRPr sz="800"/>
            </a:pPr>
            <a:endParaRPr lang="en-US"/>
          </a:p>
        </c:txPr>
        <c:crossAx val="171025152"/>
        <c:crosses val="autoZero"/>
        <c:auto val="1"/>
        <c:lblAlgn val="ctr"/>
        <c:lblOffset val="100"/>
      </c:catAx>
      <c:valAx>
        <c:axId val="171025152"/>
        <c:scaling>
          <c:orientation val="minMax"/>
        </c:scaling>
        <c:axPos val="l"/>
        <c:majorGridlines/>
        <c:title>
          <c:tx>
            <c:rich>
              <a:bodyPr rot="0" vert="horz"/>
              <a:lstStyle/>
              <a:p>
                <a:pPr>
                  <a:defRPr/>
                </a:pPr>
                <a:r>
                  <a:rPr lang="en-US"/>
                  <a:t>%</a:t>
                </a:r>
              </a:p>
            </c:rich>
          </c:tx>
          <c:layout/>
        </c:title>
        <c:numFmt formatCode="General" sourceLinked="1"/>
        <c:tickLblPos val="nextTo"/>
        <c:crossAx val="171015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Folkestone &amp; Hythe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2.4</c:v>
                </c:pt>
                <c:pt idx="1">
                  <c:v>2.7</c:v>
                </c:pt>
                <c:pt idx="2">
                  <c:v>2.6</c:v>
                </c:pt>
              </c:numCache>
            </c:numRef>
          </c:val>
        </c:ser>
        <c:axId val="171040128"/>
        <c:axId val="17106649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1040128"/>
        <c:axId val="171066496"/>
      </c:lineChart>
      <c:catAx>
        <c:axId val="171040128"/>
        <c:scaling>
          <c:orientation val="minMax"/>
        </c:scaling>
        <c:axPos val="b"/>
        <c:numFmt formatCode="General" sourceLinked="1"/>
        <c:tickLblPos val="nextTo"/>
        <c:txPr>
          <a:bodyPr/>
          <a:lstStyle/>
          <a:p>
            <a:pPr>
              <a:defRPr sz="800"/>
            </a:pPr>
            <a:endParaRPr lang="en-US"/>
          </a:p>
        </c:txPr>
        <c:crossAx val="171066496"/>
        <c:crosses val="autoZero"/>
        <c:auto val="1"/>
        <c:lblAlgn val="ctr"/>
        <c:lblOffset val="100"/>
      </c:catAx>
      <c:valAx>
        <c:axId val="171066496"/>
        <c:scaling>
          <c:orientation val="minMax"/>
        </c:scaling>
        <c:axPos val="l"/>
        <c:majorGridlines/>
        <c:title>
          <c:tx>
            <c:rich>
              <a:bodyPr rot="0" vert="horz"/>
              <a:lstStyle/>
              <a:p>
                <a:pPr>
                  <a:defRPr/>
                </a:pPr>
                <a:r>
                  <a:rPr lang="en-US"/>
                  <a:t>%</a:t>
                </a:r>
              </a:p>
            </c:rich>
          </c:tx>
          <c:layout/>
        </c:title>
        <c:numFmt formatCode="General" sourceLinked="1"/>
        <c:tickLblPos val="nextTo"/>
        <c:crossAx val="171040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Folkestone &amp; Hythe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3.8585209003215435</c:v>
                </c:pt>
                <c:pt idx="2">
                  <c:v>3.6065573770491803</c:v>
                </c:pt>
                <c:pt idx="3">
                  <c:v>3.5426731078904994</c:v>
                </c:pt>
                <c:pt idx="4">
                  <c:v>3.0844155844155843</c:v>
                </c:pt>
                <c:pt idx="5">
                  <c:v>3.0015797788309637</c:v>
                </c:pt>
                <c:pt idx="6">
                  <c:v>3.0612244897959182</c:v>
                </c:pt>
                <c:pt idx="7">
                  <c:v>3.0598052851182196</c:v>
                </c:pt>
                <c:pt idx="8">
                  <c:v>2.7925531914893615</c:v>
                </c:pt>
                <c:pt idx="9">
                  <c:v>2.9891304347826089</c:v>
                </c:pt>
              </c:numCache>
            </c:numRef>
          </c:val>
        </c:ser>
        <c:axId val="171094016"/>
        <c:axId val="17109555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1094016"/>
        <c:axId val="171095552"/>
      </c:lineChart>
      <c:catAx>
        <c:axId val="171094016"/>
        <c:scaling>
          <c:orientation val="minMax"/>
        </c:scaling>
        <c:axPos val="b"/>
        <c:numFmt formatCode="General" sourceLinked="1"/>
        <c:tickLblPos val="nextTo"/>
        <c:txPr>
          <a:bodyPr/>
          <a:lstStyle/>
          <a:p>
            <a:pPr>
              <a:defRPr sz="800"/>
            </a:pPr>
            <a:endParaRPr lang="en-US"/>
          </a:p>
        </c:txPr>
        <c:crossAx val="171095552"/>
        <c:crosses val="autoZero"/>
        <c:auto val="1"/>
        <c:lblAlgn val="ctr"/>
        <c:lblOffset val="100"/>
      </c:catAx>
      <c:valAx>
        <c:axId val="171095552"/>
        <c:scaling>
          <c:orientation val="minMax"/>
        </c:scaling>
        <c:axPos val="l"/>
        <c:majorGridlines/>
        <c:title>
          <c:tx>
            <c:rich>
              <a:bodyPr rot="0" vert="horz"/>
              <a:lstStyle/>
              <a:p>
                <a:pPr>
                  <a:defRPr/>
                </a:pPr>
                <a:r>
                  <a:rPr lang="en-US"/>
                  <a:t>%</a:t>
                </a:r>
              </a:p>
            </c:rich>
          </c:tx>
          <c:layout/>
        </c:title>
        <c:numFmt formatCode="General" sourceLinked="1"/>
        <c:tickLblPos val="nextTo"/>
        <c:crossAx val="1710940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Folkestone &amp; Hythe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59.073713791612626</c:v>
                </c:pt>
                <c:pt idx="2">
                  <c:v>58.780664880029398</c:v>
                </c:pt>
                <c:pt idx="3">
                  <c:v>58.436070922365147</c:v>
                </c:pt>
                <c:pt idx="4">
                  <c:v>58.114134241158894</c:v>
                </c:pt>
                <c:pt idx="5">
                  <c:v>57.943587483472896</c:v>
                </c:pt>
                <c:pt idx="6">
                  <c:v>57.706394686574491</c:v>
                </c:pt>
                <c:pt idx="7">
                  <c:v>57.468971824238992</c:v>
                </c:pt>
                <c:pt idx="8">
                  <c:v>57.216820633587588</c:v>
                </c:pt>
                <c:pt idx="9">
                  <c:v>56.97674418604651</c:v>
                </c:pt>
                <c:pt idx="10">
                  <c:v>56.779167878964216</c:v>
                </c:pt>
                <c:pt idx="11">
                  <c:v>56.508827908955539</c:v>
                </c:pt>
                <c:pt idx="12">
                  <c:v>56.199654775604145</c:v>
                </c:pt>
                <c:pt idx="13">
                  <c:v>55.848024571885389</c:v>
                </c:pt>
                <c:pt idx="14">
                  <c:v>55.477531616434689</c:v>
                </c:pt>
                <c:pt idx="15">
                  <c:v>55.075263087784734</c:v>
                </c:pt>
                <c:pt idx="16">
                  <c:v>54.602527787440572</c:v>
                </c:pt>
                <c:pt idx="17">
                  <c:v>54.210305132790033</c:v>
                </c:pt>
                <c:pt idx="18">
                  <c:v>53.809133393457408</c:v>
                </c:pt>
                <c:pt idx="19">
                  <c:v>53.441341784749923</c:v>
                </c:pt>
                <c:pt idx="20">
                  <c:v>53.1180997532147</c:v>
                </c:pt>
                <c:pt idx="21">
                  <c:v>52.794273295036803</c:v>
                </c:pt>
                <c:pt idx="22">
                  <c:v>52.535585042219545</c:v>
                </c:pt>
                <c:pt idx="23">
                  <c:v>52.341805083049827</c:v>
                </c:pt>
                <c:pt idx="24">
                  <c:v>52.200866959903102</c:v>
                </c:pt>
                <c:pt idx="25">
                  <c:v>52.119491068312342</c:v>
                </c:pt>
                <c:pt idx="26">
                  <c:v>52.045199703090702</c:v>
                </c:pt>
              </c:numCache>
            </c:numRef>
          </c:val>
        </c:ser>
        <c:marker val="1"/>
        <c:axId val="170141184"/>
        <c:axId val="170142720"/>
      </c:lineChart>
      <c:catAx>
        <c:axId val="170141184"/>
        <c:scaling>
          <c:orientation val="minMax"/>
        </c:scaling>
        <c:axPos val="b"/>
        <c:numFmt formatCode="General" sourceLinked="1"/>
        <c:tickLblPos val="nextTo"/>
        <c:txPr>
          <a:bodyPr/>
          <a:lstStyle/>
          <a:p>
            <a:pPr>
              <a:defRPr sz="900"/>
            </a:pPr>
            <a:endParaRPr lang="en-US"/>
          </a:p>
        </c:txPr>
        <c:crossAx val="170142720"/>
        <c:crosses val="autoZero"/>
        <c:auto val="1"/>
        <c:lblAlgn val="ctr"/>
        <c:lblOffset val="100"/>
      </c:catAx>
      <c:valAx>
        <c:axId val="170142720"/>
        <c:scaling>
          <c:orientation val="minMax"/>
        </c:scaling>
        <c:axPos val="l"/>
        <c:majorGridlines/>
        <c:title>
          <c:tx>
            <c:rich>
              <a:bodyPr rot="0" vert="horz"/>
              <a:lstStyle/>
              <a:p>
                <a:pPr>
                  <a:defRPr/>
                </a:pPr>
                <a:r>
                  <a:rPr lang="en-US"/>
                  <a:t>%</a:t>
                </a:r>
              </a:p>
            </c:rich>
          </c:tx>
          <c:layout/>
        </c:title>
        <c:numFmt formatCode="General" sourceLinked="1"/>
        <c:tickLblPos val="nextTo"/>
        <c:crossAx val="170141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Folkestone &amp; Hythe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10.8</c:v>
                </c:pt>
                <c:pt idx="1">
                  <c:v>10.8</c:v>
                </c:pt>
                <c:pt idx="2">
                  <c:v>11.4</c:v>
                </c:pt>
              </c:numCache>
            </c:numRef>
          </c:val>
        </c:ser>
        <c:axId val="171172224"/>
        <c:axId val="17117376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1172224"/>
        <c:axId val="171173760"/>
      </c:lineChart>
      <c:catAx>
        <c:axId val="171172224"/>
        <c:scaling>
          <c:orientation val="minMax"/>
        </c:scaling>
        <c:axPos val="b"/>
        <c:numFmt formatCode="General" sourceLinked="1"/>
        <c:tickLblPos val="nextTo"/>
        <c:txPr>
          <a:bodyPr/>
          <a:lstStyle/>
          <a:p>
            <a:pPr>
              <a:defRPr sz="800"/>
            </a:pPr>
            <a:endParaRPr lang="en-US"/>
          </a:p>
        </c:txPr>
        <c:crossAx val="171173760"/>
        <c:crosses val="autoZero"/>
        <c:auto val="1"/>
        <c:lblAlgn val="ctr"/>
        <c:lblOffset val="100"/>
      </c:catAx>
      <c:valAx>
        <c:axId val="171173760"/>
        <c:scaling>
          <c:orientation val="minMax"/>
        </c:scaling>
        <c:axPos val="l"/>
        <c:majorGridlines/>
        <c:title>
          <c:tx>
            <c:rich>
              <a:bodyPr rot="0" vert="horz"/>
              <a:lstStyle/>
              <a:p>
                <a:pPr>
                  <a:defRPr/>
                </a:pPr>
                <a:r>
                  <a:rPr lang="en-US"/>
                  <a:t>%</a:t>
                </a:r>
              </a:p>
            </c:rich>
          </c:tx>
          <c:layout/>
        </c:title>
        <c:numFmt formatCode="General" sourceLinked="1"/>
        <c:tickLblPos val="nextTo"/>
        <c:crossAx val="171172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Folkestone &amp; Hythe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10.289389067524116</c:v>
                </c:pt>
                <c:pt idx="2">
                  <c:v>10.655737704918034</c:v>
                </c:pt>
                <c:pt idx="3">
                  <c:v>9.9838969404186795</c:v>
                </c:pt>
                <c:pt idx="4">
                  <c:v>10.064935064935066</c:v>
                </c:pt>
                <c:pt idx="5">
                  <c:v>9.3206951026856242</c:v>
                </c:pt>
                <c:pt idx="6">
                  <c:v>8.7463556851311957</c:v>
                </c:pt>
                <c:pt idx="7">
                  <c:v>8.4840055632823361</c:v>
                </c:pt>
                <c:pt idx="8">
                  <c:v>7.9787234042553195</c:v>
                </c:pt>
                <c:pt idx="9">
                  <c:v>8.0163043478260878</c:v>
                </c:pt>
              </c:numCache>
            </c:numRef>
          </c:val>
        </c:ser>
        <c:axId val="171209472"/>
        <c:axId val="17121100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1209472"/>
        <c:axId val="171211008"/>
      </c:lineChart>
      <c:catAx>
        <c:axId val="171209472"/>
        <c:scaling>
          <c:orientation val="minMax"/>
        </c:scaling>
        <c:axPos val="b"/>
        <c:numFmt formatCode="General" sourceLinked="1"/>
        <c:tickLblPos val="nextTo"/>
        <c:txPr>
          <a:bodyPr/>
          <a:lstStyle/>
          <a:p>
            <a:pPr>
              <a:defRPr sz="800"/>
            </a:pPr>
            <a:endParaRPr lang="en-US"/>
          </a:p>
        </c:txPr>
        <c:crossAx val="171211008"/>
        <c:crosses val="autoZero"/>
        <c:auto val="1"/>
        <c:lblAlgn val="ctr"/>
        <c:lblOffset val="100"/>
      </c:catAx>
      <c:valAx>
        <c:axId val="171211008"/>
        <c:scaling>
          <c:orientation val="minMax"/>
        </c:scaling>
        <c:axPos val="l"/>
        <c:majorGridlines/>
        <c:title>
          <c:tx>
            <c:rich>
              <a:bodyPr rot="0" vert="horz"/>
              <a:lstStyle/>
              <a:p>
                <a:pPr>
                  <a:defRPr/>
                </a:pPr>
                <a:r>
                  <a:rPr lang="en-US"/>
                  <a:t>%</a:t>
                </a:r>
              </a:p>
            </c:rich>
          </c:tx>
          <c:layout/>
        </c:title>
        <c:numFmt formatCode="General" sourceLinked="1"/>
        <c:tickLblPos val="nextTo"/>
        <c:crossAx val="171209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Folkestone &amp; Hythe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6.1</c:v>
                </c:pt>
                <c:pt idx="1">
                  <c:v>6.8</c:v>
                </c:pt>
                <c:pt idx="2">
                  <c:v>7.1</c:v>
                </c:pt>
              </c:numCache>
            </c:numRef>
          </c:val>
        </c:ser>
        <c:axId val="171263104"/>
        <c:axId val="17126464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1263104"/>
        <c:axId val="171264640"/>
      </c:lineChart>
      <c:catAx>
        <c:axId val="171263104"/>
        <c:scaling>
          <c:orientation val="minMax"/>
        </c:scaling>
        <c:axPos val="b"/>
        <c:numFmt formatCode="General" sourceLinked="1"/>
        <c:tickLblPos val="nextTo"/>
        <c:txPr>
          <a:bodyPr/>
          <a:lstStyle/>
          <a:p>
            <a:pPr>
              <a:defRPr sz="800"/>
            </a:pPr>
            <a:endParaRPr lang="en-US"/>
          </a:p>
        </c:txPr>
        <c:crossAx val="171264640"/>
        <c:crosses val="autoZero"/>
        <c:auto val="1"/>
        <c:lblAlgn val="ctr"/>
        <c:lblOffset val="100"/>
      </c:catAx>
      <c:valAx>
        <c:axId val="171264640"/>
        <c:scaling>
          <c:orientation val="minMax"/>
        </c:scaling>
        <c:axPos val="l"/>
        <c:majorGridlines/>
        <c:title>
          <c:tx>
            <c:rich>
              <a:bodyPr rot="0" vert="horz"/>
              <a:lstStyle/>
              <a:p>
                <a:pPr>
                  <a:defRPr/>
                </a:pPr>
                <a:r>
                  <a:rPr lang="en-US"/>
                  <a:t>%</a:t>
                </a:r>
              </a:p>
            </c:rich>
          </c:tx>
          <c:layout/>
        </c:title>
        <c:numFmt formatCode="General" sourceLinked="1"/>
        <c:tickLblPos val="nextTo"/>
        <c:crossAx val="171263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Folkestone &amp; Hythe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3.8585209003215435</c:v>
                </c:pt>
                <c:pt idx="2">
                  <c:v>3.7704918032786887</c:v>
                </c:pt>
                <c:pt idx="3">
                  <c:v>3.7037037037037037</c:v>
                </c:pt>
                <c:pt idx="4">
                  <c:v>3.8961038961038961</c:v>
                </c:pt>
                <c:pt idx="5">
                  <c:v>3.4755134281200633</c:v>
                </c:pt>
                <c:pt idx="6">
                  <c:v>3.3527696793002915</c:v>
                </c:pt>
                <c:pt idx="7">
                  <c:v>3.6161335187760777</c:v>
                </c:pt>
                <c:pt idx="8">
                  <c:v>3.5904255319148937</c:v>
                </c:pt>
                <c:pt idx="9">
                  <c:v>3.2608695652173911</c:v>
                </c:pt>
              </c:numCache>
            </c:numRef>
          </c:val>
        </c:ser>
        <c:axId val="171300352"/>
        <c:axId val="171301888"/>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1300352"/>
        <c:axId val="171301888"/>
      </c:lineChart>
      <c:catAx>
        <c:axId val="171300352"/>
        <c:scaling>
          <c:orientation val="minMax"/>
        </c:scaling>
        <c:axPos val="b"/>
        <c:numFmt formatCode="General" sourceLinked="1"/>
        <c:tickLblPos val="nextTo"/>
        <c:txPr>
          <a:bodyPr/>
          <a:lstStyle/>
          <a:p>
            <a:pPr>
              <a:defRPr sz="800"/>
            </a:pPr>
            <a:endParaRPr lang="en-US"/>
          </a:p>
        </c:txPr>
        <c:crossAx val="171301888"/>
        <c:crosses val="autoZero"/>
        <c:auto val="1"/>
        <c:lblAlgn val="ctr"/>
        <c:lblOffset val="100"/>
      </c:catAx>
      <c:valAx>
        <c:axId val="171301888"/>
        <c:scaling>
          <c:orientation val="minMax"/>
        </c:scaling>
        <c:axPos val="l"/>
        <c:majorGridlines/>
        <c:title>
          <c:tx>
            <c:rich>
              <a:bodyPr rot="0" vert="horz"/>
              <a:lstStyle/>
              <a:p>
                <a:pPr>
                  <a:defRPr/>
                </a:pPr>
                <a:r>
                  <a:rPr lang="en-US"/>
                  <a:t>%</a:t>
                </a:r>
              </a:p>
            </c:rich>
          </c:tx>
          <c:layout/>
        </c:title>
        <c:numFmt formatCode="General" sourceLinked="1"/>
        <c:tickLblPos val="nextTo"/>
        <c:crossAx val="171300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Folkestone &amp; Hythe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9.5</c:v>
                </c:pt>
                <c:pt idx="1">
                  <c:v>8.1</c:v>
                </c:pt>
                <c:pt idx="2">
                  <c:v>8.6</c:v>
                </c:pt>
              </c:numCache>
            </c:numRef>
          </c:val>
        </c:ser>
        <c:axId val="171345792"/>
        <c:axId val="17134732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1345792"/>
        <c:axId val="171347328"/>
      </c:lineChart>
      <c:catAx>
        <c:axId val="171345792"/>
        <c:scaling>
          <c:orientation val="minMax"/>
        </c:scaling>
        <c:axPos val="b"/>
        <c:numFmt formatCode="General" sourceLinked="1"/>
        <c:tickLblPos val="nextTo"/>
        <c:txPr>
          <a:bodyPr/>
          <a:lstStyle/>
          <a:p>
            <a:pPr>
              <a:defRPr sz="800"/>
            </a:pPr>
            <a:endParaRPr lang="en-US"/>
          </a:p>
        </c:txPr>
        <c:crossAx val="171347328"/>
        <c:crosses val="autoZero"/>
        <c:auto val="1"/>
        <c:lblAlgn val="ctr"/>
        <c:lblOffset val="100"/>
      </c:catAx>
      <c:valAx>
        <c:axId val="171347328"/>
        <c:scaling>
          <c:orientation val="minMax"/>
        </c:scaling>
        <c:axPos val="l"/>
        <c:majorGridlines/>
        <c:title>
          <c:tx>
            <c:rich>
              <a:bodyPr rot="0" vert="horz"/>
              <a:lstStyle/>
              <a:p>
                <a:pPr>
                  <a:defRPr/>
                </a:pPr>
                <a:r>
                  <a:rPr lang="en-US"/>
                  <a:t>%</a:t>
                </a:r>
              </a:p>
            </c:rich>
          </c:tx>
          <c:layout/>
        </c:title>
        <c:numFmt formatCode="General" sourceLinked="1"/>
        <c:tickLblPos val="nextTo"/>
        <c:crossAx val="171345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Folkestone &amp; Hythe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8.6816720257234721</c:v>
                </c:pt>
                <c:pt idx="2">
                  <c:v>8.5245901639344268</c:v>
                </c:pt>
                <c:pt idx="3">
                  <c:v>9.1787439613526569</c:v>
                </c:pt>
                <c:pt idx="4">
                  <c:v>8.9285714285714288</c:v>
                </c:pt>
                <c:pt idx="5">
                  <c:v>9.1627172195892577</c:v>
                </c:pt>
                <c:pt idx="6">
                  <c:v>9.183673469387756</c:v>
                </c:pt>
                <c:pt idx="7">
                  <c:v>8.7621696801112652</c:v>
                </c:pt>
                <c:pt idx="8">
                  <c:v>8.7765957446808507</c:v>
                </c:pt>
                <c:pt idx="9">
                  <c:v>9.1032608695652169</c:v>
                </c:pt>
              </c:numCache>
            </c:numRef>
          </c:val>
        </c:ser>
        <c:axId val="171395328"/>
        <c:axId val="1714094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1395328"/>
        <c:axId val="171409408"/>
      </c:lineChart>
      <c:catAx>
        <c:axId val="171395328"/>
        <c:scaling>
          <c:orientation val="minMax"/>
        </c:scaling>
        <c:axPos val="b"/>
        <c:numFmt formatCode="General" sourceLinked="1"/>
        <c:tickLblPos val="nextTo"/>
        <c:txPr>
          <a:bodyPr/>
          <a:lstStyle/>
          <a:p>
            <a:pPr>
              <a:defRPr sz="800"/>
            </a:pPr>
            <a:endParaRPr lang="en-US"/>
          </a:p>
        </c:txPr>
        <c:crossAx val="171409408"/>
        <c:crosses val="autoZero"/>
        <c:auto val="1"/>
        <c:lblAlgn val="ctr"/>
        <c:lblOffset val="100"/>
      </c:catAx>
      <c:valAx>
        <c:axId val="171409408"/>
        <c:scaling>
          <c:orientation val="minMax"/>
        </c:scaling>
        <c:axPos val="l"/>
        <c:majorGridlines/>
        <c:title>
          <c:tx>
            <c:rich>
              <a:bodyPr rot="0" vert="horz"/>
              <a:lstStyle/>
              <a:p>
                <a:pPr>
                  <a:defRPr/>
                </a:pPr>
                <a:r>
                  <a:rPr lang="en-US"/>
                  <a:t>%</a:t>
                </a:r>
              </a:p>
            </c:rich>
          </c:tx>
          <c:layout/>
        </c:title>
        <c:numFmt formatCode="General" sourceLinked="1"/>
        <c:tickLblPos val="nextTo"/>
        <c:crossAx val="1713953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Folkestone &amp; Hythe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2.2000000000000002</c:v>
                </c:pt>
                <c:pt idx="1">
                  <c:v>1.6</c:v>
                </c:pt>
                <c:pt idx="2">
                  <c:v>1.4</c:v>
                </c:pt>
              </c:numCache>
            </c:numRef>
          </c:val>
        </c:ser>
        <c:axId val="171444864"/>
        <c:axId val="17146713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1444864"/>
        <c:axId val="171467136"/>
      </c:lineChart>
      <c:catAx>
        <c:axId val="171444864"/>
        <c:scaling>
          <c:orientation val="minMax"/>
        </c:scaling>
        <c:axPos val="b"/>
        <c:numFmt formatCode="General" sourceLinked="1"/>
        <c:tickLblPos val="nextTo"/>
        <c:txPr>
          <a:bodyPr/>
          <a:lstStyle/>
          <a:p>
            <a:pPr>
              <a:defRPr sz="800"/>
            </a:pPr>
            <a:endParaRPr lang="en-US"/>
          </a:p>
        </c:txPr>
        <c:crossAx val="171467136"/>
        <c:crosses val="autoZero"/>
        <c:auto val="1"/>
        <c:lblAlgn val="ctr"/>
        <c:lblOffset val="100"/>
      </c:catAx>
      <c:valAx>
        <c:axId val="171467136"/>
        <c:scaling>
          <c:orientation val="minMax"/>
        </c:scaling>
        <c:axPos val="l"/>
        <c:majorGridlines/>
        <c:title>
          <c:tx>
            <c:rich>
              <a:bodyPr rot="0" vert="horz"/>
              <a:lstStyle/>
              <a:p>
                <a:pPr>
                  <a:defRPr/>
                </a:pPr>
                <a:r>
                  <a:rPr lang="en-US"/>
                  <a:t>%</a:t>
                </a:r>
              </a:p>
            </c:rich>
          </c:tx>
          <c:layout/>
        </c:title>
        <c:numFmt formatCode="General" sourceLinked="1"/>
        <c:tickLblPos val="nextTo"/>
        <c:crossAx val="171444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Folkestone &amp; Hythe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4.501607717041801</c:v>
                </c:pt>
                <c:pt idx="2">
                  <c:v>4.5901639344262293</c:v>
                </c:pt>
                <c:pt idx="3">
                  <c:v>4.5088566827697258</c:v>
                </c:pt>
                <c:pt idx="4">
                  <c:v>4.8701298701298699</c:v>
                </c:pt>
                <c:pt idx="5">
                  <c:v>5.3712480252764614</c:v>
                </c:pt>
                <c:pt idx="6">
                  <c:v>5.1020408163265305</c:v>
                </c:pt>
                <c:pt idx="7">
                  <c:v>5.4242002781641165</c:v>
                </c:pt>
                <c:pt idx="8">
                  <c:v>5.3191489361702127</c:v>
                </c:pt>
                <c:pt idx="9">
                  <c:v>5.7065217391304346</c:v>
                </c:pt>
              </c:numCache>
            </c:numRef>
          </c:val>
        </c:ser>
        <c:axId val="171490688"/>
        <c:axId val="171508864"/>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1490688"/>
        <c:axId val="171508864"/>
      </c:lineChart>
      <c:catAx>
        <c:axId val="171490688"/>
        <c:scaling>
          <c:orientation val="minMax"/>
        </c:scaling>
        <c:axPos val="b"/>
        <c:numFmt formatCode="General" sourceLinked="1"/>
        <c:tickLblPos val="nextTo"/>
        <c:txPr>
          <a:bodyPr/>
          <a:lstStyle/>
          <a:p>
            <a:pPr>
              <a:defRPr sz="800"/>
            </a:pPr>
            <a:endParaRPr lang="en-US"/>
          </a:p>
        </c:txPr>
        <c:crossAx val="171508864"/>
        <c:crosses val="autoZero"/>
        <c:auto val="1"/>
        <c:lblAlgn val="ctr"/>
        <c:lblOffset val="100"/>
      </c:catAx>
      <c:valAx>
        <c:axId val="171508864"/>
        <c:scaling>
          <c:orientation val="minMax"/>
        </c:scaling>
        <c:axPos val="l"/>
        <c:majorGridlines/>
        <c:title>
          <c:tx>
            <c:rich>
              <a:bodyPr rot="0" vert="horz"/>
              <a:lstStyle/>
              <a:p>
                <a:pPr>
                  <a:defRPr/>
                </a:pPr>
                <a:r>
                  <a:rPr lang="en-US"/>
                  <a:t>%</a:t>
                </a:r>
              </a:p>
            </c:rich>
          </c:tx>
          <c:layout/>
        </c:title>
        <c:numFmt formatCode="General" sourceLinked="1"/>
        <c:tickLblPos val="nextTo"/>
        <c:crossAx val="1714906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Folkestone &amp; Hythe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4.7</c:v>
                </c:pt>
                <c:pt idx="1">
                  <c:v>4.7</c:v>
                </c:pt>
                <c:pt idx="2">
                  <c:v>5</c:v>
                </c:pt>
              </c:numCache>
            </c:numRef>
          </c:val>
        </c:ser>
        <c:axId val="171548672"/>
        <c:axId val="17155020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1548672"/>
        <c:axId val="171550208"/>
      </c:lineChart>
      <c:catAx>
        <c:axId val="171548672"/>
        <c:scaling>
          <c:orientation val="minMax"/>
        </c:scaling>
        <c:axPos val="b"/>
        <c:numFmt formatCode="General" sourceLinked="1"/>
        <c:tickLblPos val="nextTo"/>
        <c:txPr>
          <a:bodyPr/>
          <a:lstStyle/>
          <a:p>
            <a:pPr>
              <a:defRPr sz="800"/>
            </a:pPr>
            <a:endParaRPr lang="en-US"/>
          </a:p>
        </c:txPr>
        <c:crossAx val="171550208"/>
        <c:crosses val="autoZero"/>
        <c:auto val="1"/>
        <c:lblAlgn val="ctr"/>
        <c:lblOffset val="100"/>
      </c:catAx>
      <c:valAx>
        <c:axId val="171550208"/>
        <c:scaling>
          <c:orientation val="minMax"/>
        </c:scaling>
        <c:axPos val="l"/>
        <c:majorGridlines/>
        <c:title>
          <c:tx>
            <c:rich>
              <a:bodyPr rot="0" vert="horz"/>
              <a:lstStyle/>
              <a:p>
                <a:pPr>
                  <a:defRPr/>
                </a:pPr>
                <a:r>
                  <a:rPr lang="en-US"/>
                  <a:t>%</a:t>
                </a:r>
              </a:p>
            </c:rich>
          </c:tx>
          <c:layout/>
        </c:title>
        <c:numFmt formatCode="General" sourceLinked="1"/>
        <c:tickLblPos val="nextTo"/>
        <c:crossAx val="1715486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Folkestone &amp; Hythe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1.1254019292604502</c:v>
                </c:pt>
                <c:pt idx="2">
                  <c:v>1.1475409836065573</c:v>
                </c:pt>
                <c:pt idx="3">
                  <c:v>0.96618357487922701</c:v>
                </c:pt>
                <c:pt idx="4">
                  <c:v>1.1363636363636365</c:v>
                </c:pt>
                <c:pt idx="5">
                  <c:v>1.1058451816745656</c:v>
                </c:pt>
                <c:pt idx="6">
                  <c:v>1.0204081632653061</c:v>
                </c:pt>
                <c:pt idx="7">
                  <c:v>1.1126564673157162</c:v>
                </c:pt>
                <c:pt idx="8">
                  <c:v>1.196808510638298</c:v>
                </c:pt>
                <c:pt idx="9">
                  <c:v>1.0869565217391304</c:v>
                </c:pt>
              </c:numCache>
            </c:numRef>
          </c:val>
        </c:ser>
        <c:axId val="171598208"/>
        <c:axId val="17159974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1598208"/>
        <c:axId val="171599744"/>
      </c:lineChart>
      <c:catAx>
        <c:axId val="171598208"/>
        <c:scaling>
          <c:orientation val="minMax"/>
        </c:scaling>
        <c:axPos val="b"/>
        <c:numFmt formatCode="General" sourceLinked="1"/>
        <c:tickLblPos val="nextTo"/>
        <c:txPr>
          <a:bodyPr/>
          <a:lstStyle/>
          <a:p>
            <a:pPr>
              <a:defRPr sz="800"/>
            </a:pPr>
            <a:endParaRPr lang="en-US"/>
          </a:p>
        </c:txPr>
        <c:crossAx val="171599744"/>
        <c:crosses val="autoZero"/>
        <c:auto val="1"/>
        <c:lblAlgn val="ctr"/>
        <c:lblOffset val="100"/>
      </c:catAx>
      <c:valAx>
        <c:axId val="171599744"/>
        <c:scaling>
          <c:orientation val="minMax"/>
        </c:scaling>
        <c:axPos val="l"/>
        <c:majorGridlines/>
        <c:title>
          <c:tx>
            <c:rich>
              <a:bodyPr rot="0" vert="horz"/>
              <a:lstStyle/>
              <a:p>
                <a:pPr>
                  <a:defRPr/>
                </a:pPr>
                <a:r>
                  <a:rPr lang="en-US"/>
                  <a:t>%</a:t>
                </a:r>
              </a:p>
            </c:rich>
          </c:tx>
          <c:layout/>
        </c:title>
        <c:numFmt formatCode="General" sourceLinked="1"/>
        <c:tickLblPos val="nextTo"/>
        <c:crossAx val="1715982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Folkestone &amp; Hythe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37.4</c:v>
                </c:pt>
                <c:pt idx="2">
                  <c:v>37.5</c:v>
                </c:pt>
                <c:pt idx="3">
                  <c:v>37.4</c:v>
                </c:pt>
                <c:pt idx="4">
                  <c:v>37.5</c:v>
                </c:pt>
                <c:pt idx="5">
                  <c:v>37.5</c:v>
                </c:pt>
                <c:pt idx="6">
                  <c:v>37.4</c:v>
                </c:pt>
                <c:pt idx="7">
                  <c:v>37</c:v>
                </c:pt>
                <c:pt idx="8">
                  <c:v>37</c:v>
                </c:pt>
                <c:pt idx="9">
                  <c:v>37.5</c:v>
                </c:pt>
                <c:pt idx="10">
                  <c:v>37</c:v>
                </c:pt>
                <c:pt idx="11">
                  <c:v>37.5</c:v>
                </c:pt>
              </c:numCache>
            </c:numRef>
          </c:val>
        </c:ser>
        <c:marker val="1"/>
        <c:axId val="170194432"/>
        <c:axId val="170195968"/>
      </c:lineChart>
      <c:catAx>
        <c:axId val="170194432"/>
        <c:scaling>
          <c:orientation val="minMax"/>
        </c:scaling>
        <c:axPos val="b"/>
        <c:numFmt formatCode="General" sourceLinked="1"/>
        <c:tickLblPos val="nextTo"/>
        <c:txPr>
          <a:bodyPr/>
          <a:lstStyle/>
          <a:p>
            <a:pPr>
              <a:defRPr sz="900"/>
            </a:pPr>
            <a:endParaRPr lang="en-US"/>
          </a:p>
        </c:txPr>
        <c:crossAx val="170195968"/>
        <c:crosses val="autoZero"/>
        <c:auto val="1"/>
        <c:lblAlgn val="ctr"/>
        <c:lblOffset val="100"/>
      </c:catAx>
      <c:valAx>
        <c:axId val="17019596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0194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Folkestone &amp; Hythe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1.4</c:v>
                </c:pt>
                <c:pt idx="1">
                  <c:v>1.9</c:v>
                </c:pt>
                <c:pt idx="2">
                  <c:v>1.7</c:v>
                </c:pt>
              </c:numCache>
            </c:numRef>
          </c:val>
        </c:ser>
        <c:axId val="171651840"/>
        <c:axId val="17165337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1651840"/>
        <c:axId val="171653376"/>
      </c:lineChart>
      <c:catAx>
        <c:axId val="171651840"/>
        <c:scaling>
          <c:orientation val="minMax"/>
        </c:scaling>
        <c:axPos val="b"/>
        <c:numFmt formatCode="General" sourceLinked="1"/>
        <c:tickLblPos val="nextTo"/>
        <c:txPr>
          <a:bodyPr/>
          <a:lstStyle/>
          <a:p>
            <a:pPr>
              <a:defRPr sz="800"/>
            </a:pPr>
            <a:endParaRPr lang="en-US"/>
          </a:p>
        </c:txPr>
        <c:crossAx val="171653376"/>
        <c:crosses val="autoZero"/>
        <c:auto val="1"/>
        <c:lblAlgn val="ctr"/>
        <c:lblOffset val="100"/>
      </c:catAx>
      <c:valAx>
        <c:axId val="171653376"/>
        <c:scaling>
          <c:orientation val="minMax"/>
        </c:scaling>
        <c:axPos val="l"/>
        <c:majorGridlines/>
        <c:title>
          <c:tx>
            <c:rich>
              <a:bodyPr rot="0" vert="horz"/>
              <a:lstStyle/>
              <a:p>
                <a:pPr>
                  <a:defRPr/>
                </a:pPr>
                <a:r>
                  <a:rPr lang="en-US"/>
                  <a:t>%</a:t>
                </a:r>
              </a:p>
            </c:rich>
          </c:tx>
          <c:layout/>
        </c:title>
        <c:numFmt formatCode="General" sourceLinked="1"/>
        <c:tickLblPos val="nextTo"/>
        <c:crossAx val="171651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Folkestone &amp; Hythe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3.054662379421222</c:v>
                </c:pt>
                <c:pt idx="2">
                  <c:v>3.1147540983606556</c:v>
                </c:pt>
                <c:pt idx="3">
                  <c:v>3.2206119162640903</c:v>
                </c:pt>
                <c:pt idx="4">
                  <c:v>3.2467532467532467</c:v>
                </c:pt>
                <c:pt idx="5">
                  <c:v>3.4755134281200633</c:v>
                </c:pt>
                <c:pt idx="6">
                  <c:v>3.2069970845481048</c:v>
                </c:pt>
                <c:pt idx="7">
                  <c:v>3.0598052851182196</c:v>
                </c:pt>
                <c:pt idx="8">
                  <c:v>3.3244680851063828</c:v>
                </c:pt>
                <c:pt idx="9">
                  <c:v>3.3967391304347827</c:v>
                </c:pt>
              </c:numCache>
            </c:numRef>
          </c:val>
        </c:ser>
        <c:axId val="171709568"/>
        <c:axId val="171711104"/>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1709568"/>
        <c:axId val="171711104"/>
      </c:lineChart>
      <c:catAx>
        <c:axId val="171709568"/>
        <c:scaling>
          <c:orientation val="minMax"/>
        </c:scaling>
        <c:axPos val="b"/>
        <c:numFmt formatCode="General" sourceLinked="1"/>
        <c:tickLblPos val="nextTo"/>
        <c:txPr>
          <a:bodyPr/>
          <a:lstStyle/>
          <a:p>
            <a:pPr>
              <a:defRPr sz="800"/>
            </a:pPr>
            <a:endParaRPr lang="en-US"/>
          </a:p>
        </c:txPr>
        <c:crossAx val="171711104"/>
        <c:crosses val="autoZero"/>
        <c:auto val="1"/>
        <c:lblAlgn val="ctr"/>
        <c:lblOffset val="100"/>
      </c:catAx>
      <c:valAx>
        <c:axId val="171711104"/>
        <c:scaling>
          <c:orientation val="minMax"/>
        </c:scaling>
        <c:axPos val="l"/>
        <c:majorGridlines/>
        <c:title>
          <c:tx>
            <c:rich>
              <a:bodyPr rot="0" vert="horz"/>
              <a:lstStyle/>
              <a:p>
                <a:pPr>
                  <a:defRPr/>
                </a:pPr>
                <a:r>
                  <a:rPr lang="en-US"/>
                  <a:t>%</a:t>
                </a:r>
              </a:p>
            </c:rich>
          </c:tx>
          <c:layout/>
        </c:title>
        <c:numFmt formatCode="General" sourceLinked="1"/>
        <c:tickLblPos val="nextTo"/>
        <c:crossAx val="17170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Folkestone &amp; Hythe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4.0999999999999996</c:v>
                </c:pt>
                <c:pt idx="1">
                  <c:v>4.7</c:v>
                </c:pt>
                <c:pt idx="2">
                  <c:v>4.3</c:v>
                </c:pt>
              </c:numCache>
            </c:numRef>
          </c:val>
        </c:ser>
        <c:axId val="171746816"/>
        <c:axId val="17174835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1746816"/>
        <c:axId val="171748352"/>
      </c:lineChart>
      <c:catAx>
        <c:axId val="171746816"/>
        <c:scaling>
          <c:orientation val="minMax"/>
        </c:scaling>
        <c:axPos val="b"/>
        <c:numFmt formatCode="General" sourceLinked="1"/>
        <c:tickLblPos val="nextTo"/>
        <c:txPr>
          <a:bodyPr/>
          <a:lstStyle/>
          <a:p>
            <a:pPr>
              <a:defRPr sz="800"/>
            </a:pPr>
            <a:endParaRPr lang="en-US"/>
          </a:p>
        </c:txPr>
        <c:crossAx val="171748352"/>
        <c:crosses val="autoZero"/>
        <c:auto val="1"/>
        <c:lblAlgn val="ctr"/>
        <c:lblOffset val="100"/>
      </c:catAx>
      <c:valAx>
        <c:axId val="171748352"/>
        <c:scaling>
          <c:orientation val="minMax"/>
        </c:scaling>
        <c:axPos val="l"/>
        <c:majorGridlines/>
        <c:title>
          <c:tx>
            <c:rich>
              <a:bodyPr rot="0" vert="horz"/>
              <a:lstStyle/>
              <a:p>
                <a:pPr>
                  <a:defRPr/>
                </a:pPr>
                <a:r>
                  <a:rPr lang="en-US"/>
                  <a:t>%</a:t>
                </a:r>
              </a:p>
            </c:rich>
          </c:tx>
          <c:layout/>
        </c:title>
        <c:numFmt formatCode="General" sourceLinked="1"/>
        <c:tickLblPos val="nextTo"/>
        <c:crossAx val="1717468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Folkestone &amp; Hythe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13.02250803858521</c:v>
                </c:pt>
                <c:pt idx="2">
                  <c:v>13.934426229508198</c:v>
                </c:pt>
                <c:pt idx="3">
                  <c:v>14.492753623188406</c:v>
                </c:pt>
                <c:pt idx="4">
                  <c:v>14.61038961038961</c:v>
                </c:pt>
                <c:pt idx="5">
                  <c:v>15.165876777251185</c:v>
                </c:pt>
                <c:pt idx="6">
                  <c:v>15.306122448979592</c:v>
                </c:pt>
                <c:pt idx="7">
                  <c:v>15.855354659248956</c:v>
                </c:pt>
                <c:pt idx="8">
                  <c:v>16.75531914893617</c:v>
                </c:pt>
                <c:pt idx="9">
                  <c:v>16.576086956521738</c:v>
                </c:pt>
              </c:numCache>
            </c:numRef>
          </c:val>
        </c:ser>
        <c:axId val="171853696"/>
        <c:axId val="17185523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1853696"/>
        <c:axId val="171855232"/>
      </c:lineChart>
      <c:catAx>
        <c:axId val="171853696"/>
        <c:scaling>
          <c:orientation val="minMax"/>
        </c:scaling>
        <c:axPos val="b"/>
        <c:numFmt formatCode="General" sourceLinked="1"/>
        <c:tickLblPos val="nextTo"/>
        <c:txPr>
          <a:bodyPr/>
          <a:lstStyle/>
          <a:p>
            <a:pPr>
              <a:defRPr sz="800"/>
            </a:pPr>
            <a:endParaRPr lang="en-US"/>
          </a:p>
        </c:txPr>
        <c:crossAx val="171855232"/>
        <c:crosses val="autoZero"/>
        <c:auto val="1"/>
        <c:lblAlgn val="ctr"/>
        <c:lblOffset val="100"/>
      </c:catAx>
      <c:valAx>
        <c:axId val="171855232"/>
        <c:scaling>
          <c:orientation val="minMax"/>
        </c:scaling>
        <c:axPos val="l"/>
        <c:majorGridlines/>
        <c:title>
          <c:tx>
            <c:rich>
              <a:bodyPr rot="0" vert="horz"/>
              <a:lstStyle/>
              <a:p>
                <a:pPr>
                  <a:defRPr/>
                </a:pPr>
                <a:r>
                  <a:rPr lang="en-US"/>
                  <a:t>%</a:t>
                </a:r>
              </a:p>
            </c:rich>
          </c:tx>
          <c:layout/>
        </c:title>
        <c:numFmt formatCode="General" sourceLinked="1"/>
        <c:tickLblPos val="nextTo"/>
        <c:crossAx val="1718536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Folkestone &amp; Hythe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10.8</c:v>
                </c:pt>
                <c:pt idx="1">
                  <c:v>12.2</c:v>
                </c:pt>
                <c:pt idx="2">
                  <c:v>10</c:v>
                </c:pt>
              </c:numCache>
            </c:numRef>
          </c:val>
        </c:ser>
        <c:axId val="171899520"/>
        <c:axId val="171778432"/>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1899520"/>
        <c:axId val="171778432"/>
      </c:lineChart>
      <c:catAx>
        <c:axId val="171899520"/>
        <c:scaling>
          <c:orientation val="minMax"/>
        </c:scaling>
        <c:axPos val="b"/>
        <c:numFmt formatCode="General" sourceLinked="1"/>
        <c:tickLblPos val="nextTo"/>
        <c:txPr>
          <a:bodyPr/>
          <a:lstStyle/>
          <a:p>
            <a:pPr>
              <a:defRPr sz="800"/>
            </a:pPr>
            <a:endParaRPr lang="en-US"/>
          </a:p>
        </c:txPr>
        <c:crossAx val="171778432"/>
        <c:crosses val="autoZero"/>
        <c:auto val="1"/>
        <c:lblAlgn val="ctr"/>
        <c:lblOffset val="100"/>
      </c:catAx>
      <c:valAx>
        <c:axId val="171778432"/>
        <c:scaling>
          <c:orientation val="minMax"/>
        </c:scaling>
        <c:axPos val="l"/>
        <c:majorGridlines/>
        <c:title>
          <c:tx>
            <c:rich>
              <a:bodyPr rot="0" vert="horz"/>
              <a:lstStyle/>
              <a:p>
                <a:pPr>
                  <a:defRPr/>
                </a:pPr>
                <a:r>
                  <a:rPr lang="en-US"/>
                  <a:t>%</a:t>
                </a:r>
              </a:p>
            </c:rich>
          </c:tx>
          <c:layout/>
        </c:title>
        <c:numFmt formatCode="General" sourceLinked="1"/>
        <c:tickLblPos val="nextTo"/>
        <c:crossAx val="17189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Folkestone &amp; Hythe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7.395498392282958</c:v>
                </c:pt>
                <c:pt idx="2">
                  <c:v>6.8852459016393439</c:v>
                </c:pt>
                <c:pt idx="3">
                  <c:v>6.7632850241545892</c:v>
                </c:pt>
                <c:pt idx="4">
                  <c:v>5.8441558441558445</c:v>
                </c:pt>
                <c:pt idx="5">
                  <c:v>6.477093206951027</c:v>
                </c:pt>
                <c:pt idx="6">
                  <c:v>7.8717201166180759</c:v>
                </c:pt>
                <c:pt idx="7">
                  <c:v>8.0667593880389425</c:v>
                </c:pt>
                <c:pt idx="8">
                  <c:v>7.8457446808510642</c:v>
                </c:pt>
                <c:pt idx="9">
                  <c:v>8.0163043478260878</c:v>
                </c:pt>
              </c:numCache>
            </c:numRef>
          </c:val>
        </c:ser>
        <c:axId val="171809792"/>
        <c:axId val="171815680"/>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1809792"/>
        <c:axId val="171815680"/>
      </c:lineChart>
      <c:catAx>
        <c:axId val="171809792"/>
        <c:scaling>
          <c:orientation val="minMax"/>
        </c:scaling>
        <c:axPos val="b"/>
        <c:numFmt formatCode="General" sourceLinked="1"/>
        <c:tickLblPos val="nextTo"/>
        <c:txPr>
          <a:bodyPr/>
          <a:lstStyle/>
          <a:p>
            <a:pPr>
              <a:defRPr sz="800"/>
            </a:pPr>
            <a:endParaRPr lang="en-US"/>
          </a:p>
        </c:txPr>
        <c:crossAx val="171815680"/>
        <c:crosses val="autoZero"/>
        <c:auto val="1"/>
        <c:lblAlgn val="ctr"/>
        <c:lblOffset val="100"/>
      </c:catAx>
      <c:valAx>
        <c:axId val="171815680"/>
        <c:scaling>
          <c:orientation val="minMax"/>
        </c:scaling>
        <c:axPos val="l"/>
        <c:majorGridlines/>
        <c:title>
          <c:tx>
            <c:rich>
              <a:bodyPr rot="0" vert="horz"/>
              <a:lstStyle/>
              <a:p>
                <a:pPr>
                  <a:defRPr/>
                </a:pPr>
                <a:r>
                  <a:rPr lang="en-US"/>
                  <a:t>%</a:t>
                </a:r>
              </a:p>
            </c:rich>
          </c:tx>
          <c:layout/>
        </c:title>
        <c:numFmt formatCode="General" sourceLinked="1"/>
        <c:tickLblPos val="nextTo"/>
        <c:crossAx val="17180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Folkestone &amp; Hythe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6.1</c:v>
                </c:pt>
                <c:pt idx="1">
                  <c:v>6.8</c:v>
                </c:pt>
                <c:pt idx="2">
                  <c:v>7.1</c:v>
                </c:pt>
              </c:numCache>
            </c:numRef>
          </c:val>
        </c:ser>
        <c:axId val="171982208"/>
        <c:axId val="17201267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1982208"/>
        <c:axId val="172012672"/>
      </c:lineChart>
      <c:catAx>
        <c:axId val="171982208"/>
        <c:scaling>
          <c:orientation val="minMax"/>
        </c:scaling>
        <c:axPos val="b"/>
        <c:numFmt formatCode="General" sourceLinked="1"/>
        <c:tickLblPos val="nextTo"/>
        <c:txPr>
          <a:bodyPr/>
          <a:lstStyle/>
          <a:p>
            <a:pPr>
              <a:defRPr sz="800"/>
            </a:pPr>
            <a:endParaRPr lang="en-US"/>
          </a:p>
        </c:txPr>
        <c:crossAx val="172012672"/>
        <c:crosses val="autoZero"/>
        <c:auto val="1"/>
        <c:lblAlgn val="ctr"/>
        <c:lblOffset val="100"/>
      </c:catAx>
      <c:valAx>
        <c:axId val="172012672"/>
        <c:scaling>
          <c:orientation val="minMax"/>
        </c:scaling>
        <c:axPos val="l"/>
        <c:majorGridlines/>
        <c:title>
          <c:tx>
            <c:rich>
              <a:bodyPr rot="0" vert="horz"/>
              <a:lstStyle/>
              <a:p>
                <a:pPr>
                  <a:defRPr/>
                </a:pPr>
                <a:r>
                  <a:rPr lang="en-US"/>
                  <a:t>%</a:t>
                </a:r>
              </a:p>
            </c:rich>
          </c:tx>
          <c:layout/>
        </c:title>
        <c:numFmt formatCode="General" sourceLinked="1"/>
        <c:tickLblPos val="nextTo"/>
        <c:crossAx val="1719822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Folkestone &amp; Hythe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0.16077170418006431</c:v>
                </c:pt>
                <c:pt idx="2">
                  <c:v>0.16393442622950818</c:v>
                </c:pt>
                <c:pt idx="3">
                  <c:v>0.322061191626409</c:v>
                </c:pt>
                <c:pt idx="4">
                  <c:v>0.32467532467532467</c:v>
                </c:pt>
                <c:pt idx="5">
                  <c:v>0.47393364928909953</c:v>
                </c:pt>
                <c:pt idx="6">
                  <c:v>0.43731778425655976</c:v>
                </c:pt>
                <c:pt idx="7">
                  <c:v>0.41724617524339358</c:v>
                </c:pt>
                <c:pt idx="8">
                  <c:v>0.39893617021276595</c:v>
                </c:pt>
                <c:pt idx="9">
                  <c:v>0.40760869565217389</c:v>
                </c:pt>
              </c:numCache>
            </c:numRef>
          </c:val>
        </c:ser>
        <c:axId val="172044288"/>
        <c:axId val="17204582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2044288"/>
        <c:axId val="172045824"/>
      </c:lineChart>
      <c:catAx>
        <c:axId val="172044288"/>
        <c:scaling>
          <c:orientation val="minMax"/>
        </c:scaling>
        <c:axPos val="b"/>
        <c:numFmt formatCode="General" sourceLinked="1"/>
        <c:tickLblPos val="nextTo"/>
        <c:txPr>
          <a:bodyPr/>
          <a:lstStyle/>
          <a:p>
            <a:pPr>
              <a:defRPr sz="800"/>
            </a:pPr>
            <a:endParaRPr lang="en-US"/>
          </a:p>
        </c:txPr>
        <c:crossAx val="172045824"/>
        <c:crosses val="autoZero"/>
        <c:auto val="1"/>
        <c:lblAlgn val="ctr"/>
        <c:lblOffset val="100"/>
      </c:catAx>
      <c:valAx>
        <c:axId val="172045824"/>
        <c:scaling>
          <c:orientation val="minMax"/>
        </c:scaling>
        <c:axPos val="l"/>
        <c:majorGridlines/>
        <c:title>
          <c:tx>
            <c:rich>
              <a:bodyPr rot="0" vert="horz"/>
              <a:lstStyle/>
              <a:p>
                <a:pPr>
                  <a:defRPr/>
                </a:pPr>
                <a:r>
                  <a:rPr lang="en-US"/>
                  <a:t>%</a:t>
                </a:r>
              </a:p>
            </c:rich>
          </c:tx>
          <c:layout/>
        </c:title>
        <c:numFmt formatCode="General" sourceLinked="1"/>
        <c:tickLblPos val="nextTo"/>
        <c:crossAx val="172044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Folkestone &amp; Hythe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9.5</c:v>
                </c:pt>
                <c:pt idx="1">
                  <c:v>9.5</c:v>
                </c:pt>
                <c:pt idx="2">
                  <c:v>8.6</c:v>
                </c:pt>
              </c:numCache>
            </c:numRef>
          </c:val>
        </c:ser>
        <c:axId val="172077440"/>
        <c:axId val="17207897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2077440"/>
        <c:axId val="172078976"/>
      </c:lineChart>
      <c:catAx>
        <c:axId val="172077440"/>
        <c:scaling>
          <c:orientation val="minMax"/>
        </c:scaling>
        <c:axPos val="b"/>
        <c:numFmt formatCode="General" sourceLinked="1"/>
        <c:tickLblPos val="nextTo"/>
        <c:txPr>
          <a:bodyPr/>
          <a:lstStyle/>
          <a:p>
            <a:pPr>
              <a:defRPr sz="800"/>
            </a:pPr>
            <a:endParaRPr lang="en-US"/>
          </a:p>
        </c:txPr>
        <c:crossAx val="172078976"/>
        <c:crosses val="autoZero"/>
        <c:auto val="1"/>
        <c:lblAlgn val="ctr"/>
        <c:lblOffset val="100"/>
      </c:catAx>
      <c:valAx>
        <c:axId val="172078976"/>
        <c:scaling>
          <c:orientation val="minMax"/>
        </c:scaling>
        <c:axPos val="l"/>
        <c:majorGridlines/>
        <c:title>
          <c:tx>
            <c:rich>
              <a:bodyPr rot="0" vert="horz"/>
              <a:lstStyle/>
              <a:p>
                <a:pPr>
                  <a:defRPr/>
                </a:pPr>
                <a:r>
                  <a:rPr lang="en-US"/>
                  <a:t>%</a:t>
                </a:r>
              </a:p>
            </c:rich>
          </c:tx>
          <c:layout/>
        </c:title>
        <c:numFmt formatCode="General" sourceLinked="1"/>
        <c:tickLblPos val="nextTo"/>
        <c:crossAx val="172077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Folkestone &amp; Hythe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1.607717041800643</c:v>
                </c:pt>
                <c:pt idx="2">
                  <c:v>1.8032786885245902</c:v>
                </c:pt>
                <c:pt idx="3">
                  <c:v>1.932367149758454</c:v>
                </c:pt>
                <c:pt idx="4">
                  <c:v>1.948051948051948</c:v>
                </c:pt>
                <c:pt idx="5">
                  <c:v>2.3696682464454977</c:v>
                </c:pt>
                <c:pt idx="6">
                  <c:v>2.3323615160349855</c:v>
                </c:pt>
                <c:pt idx="7">
                  <c:v>2.0862308762169679</c:v>
                </c:pt>
                <c:pt idx="8">
                  <c:v>1.8617021276595744</c:v>
                </c:pt>
                <c:pt idx="9">
                  <c:v>1.6304347826086956</c:v>
                </c:pt>
              </c:numCache>
            </c:numRef>
          </c:val>
        </c:ser>
        <c:axId val="172131072"/>
        <c:axId val="17213260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2131072"/>
        <c:axId val="172132608"/>
      </c:lineChart>
      <c:catAx>
        <c:axId val="172131072"/>
        <c:scaling>
          <c:orientation val="minMax"/>
        </c:scaling>
        <c:axPos val="b"/>
        <c:numFmt formatCode="General" sourceLinked="1"/>
        <c:tickLblPos val="nextTo"/>
        <c:txPr>
          <a:bodyPr/>
          <a:lstStyle/>
          <a:p>
            <a:pPr>
              <a:defRPr sz="800"/>
            </a:pPr>
            <a:endParaRPr lang="en-US"/>
          </a:p>
        </c:txPr>
        <c:crossAx val="172132608"/>
        <c:crosses val="autoZero"/>
        <c:auto val="1"/>
        <c:lblAlgn val="ctr"/>
        <c:lblOffset val="100"/>
      </c:catAx>
      <c:valAx>
        <c:axId val="172132608"/>
        <c:scaling>
          <c:orientation val="minMax"/>
        </c:scaling>
        <c:axPos val="l"/>
        <c:majorGridlines/>
        <c:title>
          <c:tx>
            <c:rich>
              <a:bodyPr rot="0" vert="horz"/>
              <a:lstStyle/>
              <a:p>
                <a:pPr>
                  <a:defRPr/>
                </a:pPr>
                <a:r>
                  <a:rPr lang="en-US"/>
                  <a:t>%</a:t>
                </a:r>
              </a:p>
            </c:rich>
          </c:tx>
          <c:layout/>
        </c:title>
        <c:numFmt formatCode="General" sourceLinked="1"/>
        <c:tickLblPos val="nextTo"/>
        <c:crossAx val="1721310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Folkestone &amp; Hythe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457</c:v>
                </c:pt>
                <c:pt idx="2">
                  <c:v>441.6</c:v>
                </c:pt>
                <c:pt idx="3">
                  <c:v>452</c:v>
                </c:pt>
                <c:pt idx="4">
                  <c:v>465.1</c:v>
                </c:pt>
                <c:pt idx="5">
                  <c:v>482.3</c:v>
                </c:pt>
                <c:pt idx="6">
                  <c:v>455.9</c:v>
                </c:pt>
                <c:pt idx="7">
                  <c:v>467.7</c:v>
                </c:pt>
                <c:pt idx="8">
                  <c:v>473</c:v>
                </c:pt>
                <c:pt idx="9">
                  <c:v>458.4</c:v>
                </c:pt>
                <c:pt idx="10">
                  <c:v>493.6</c:v>
                </c:pt>
                <c:pt idx="11">
                  <c:v>507.6</c:v>
                </c:pt>
              </c:numCache>
            </c:numRef>
          </c:val>
        </c:ser>
        <c:marker val="1"/>
        <c:axId val="137352704"/>
        <c:axId val="137354240"/>
      </c:lineChart>
      <c:catAx>
        <c:axId val="137352704"/>
        <c:scaling>
          <c:orientation val="minMax"/>
        </c:scaling>
        <c:axPos val="b"/>
        <c:numFmt formatCode="General" sourceLinked="1"/>
        <c:tickLblPos val="nextTo"/>
        <c:txPr>
          <a:bodyPr/>
          <a:lstStyle/>
          <a:p>
            <a:pPr>
              <a:defRPr sz="900"/>
            </a:pPr>
            <a:endParaRPr lang="en-US"/>
          </a:p>
        </c:txPr>
        <c:crossAx val="137354240"/>
        <c:crosses val="autoZero"/>
        <c:auto val="1"/>
        <c:lblAlgn val="ctr"/>
        <c:lblOffset val="100"/>
      </c:catAx>
      <c:valAx>
        <c:axId val="137354240"/>
        <c:scaling>
          <c:orientation val="minMax"/>
        </c:scaling>
        <c:axPos val="l"/>
        <c:majorGridlines/>
        <c:title>
          <c:tx>
            <c:rich>
              <a:bodyPr rot="0" vert="horz"/>
              <a:lstStyle/>
              <a:p>
                <a:pPr>
                  <a:defRPr/>
                </a:pPr>
                <a:r>
                  <a:rPr lang="en-US"/>
                  <a:t>£</a:t>
                </a:r>
              </a:p>
            </c:rich>
          </c:tx>
          <c:layout/>
        </c:title>
        <c:numFmt formatCode="General" sourceLinked="1"/>
        <c:tickLblPos val="nextTo"/>
        <c:crossAx val="13735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Folkestone &amp; Hythe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13.5</c:v>
                </c:pt>
                <c:pt idx="1">
                  <c:v>12.2</c:v>
                </c:pt>
                <c:pt idx="2">
                  <c:v>14.3</c:v>
                </c:pt>
              </c:numCache>
            </c:numRef>
          </c:val>
        </c:ser>
        <c:axId val="172250240"/>
        <c:axId val="17225177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2250240"/>
        <c:axId val="172251776"/>
      </c:lineChart>
      <c:catAx>
        <c:axId val="172250240"/>
        <c:scaling>
          <c:orientation val="minMax"/>
        </c:scaling>
        <c:axPos val="b"/>
        <c:numFmt formatCode="General" sourceLinked="1"/>
        <c:tickLblPos val="nextTo"/>
        <c:txPr>
          <a:bodyPr/>
          <a:lstStyle/>
          <a:p>
            <a:pPr>
              <a:defRPr sz="800"/>
            </a:pPr>
            <a:endParaRPr lang="en-US"/>
          </a:p>
        </c:txPr>
        <c:crossAx val="172251776"/>
        <c:crosses val="autoZero"/>
        <c:auto val="1"/>
        <c:lblAlgn val="ctr"/>
        <c:lblOffset val="100"/>
      </c:catAx>
      <c:valAx>
        <c:axId val="172251776"/>
        <c:scaling>
          <c:orientation val="minMax"/>
        </c:scaling>
        <c:axPos val="l"/>
        <c:majorGridlines/>
        <c:title>
          <c:tx>
            <c:rich>
              <a:bodyPr rot="0" vert="horz"/>
              <a:lstStyle/>
              <a:p>
                <a:pPr>
                  <a:defRPr/>
                </a:pPr>
                <a:r>
                  <a:rPr lang="en-US"/>
                  <a:t>%</a:t>
                </a:r>
              </a:p>
            </c:rich>
          </c:tx>
          <c:layout/>
        </c:title>
        <c:numFmt formatCode="General" sourceLinked="1"/>
        <c:tickLblPos val="nextTo"/>
        <c:crossAx val="17225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Folkestone &amp; Hythe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5.4662379421221861</c:v>
                </c:pt>
                <c:pt idx="2">
                  <c:v>5.2459016393442619</c:v>
                </c:pt>
                <c:pt idx="3">
                  <c:v>5.1529790660225441</c:v>
                </c:pt>
                <c:pt idx="4">
                  <c:v>5.3571428571428568</c:v>
                </c:pt>
                <c:pt idx="5">
                  <c:v>5.3712480252764614</c:v>
                </c:pt>
                <c:pt idx="6">
                  <c:v>5.1020408163265305</c:v>
                </c:pt>
                <c:pt idx="7">
                  <c:v>4.8678720445062584</c:v>
                </c:pt>
                <c:pt idx="8">
                  <c:v>4.7872340425531918</c:v>
                </c:pt>
                <c:pt idx="9">
                  <c:v>4.2119565217391308</c:v>
                </c:pt>
              </c:numCache>
            </c:numRef>
          </c:val>
        </c:ser>
        <c:axId val="172283008"/>
        <c:axId val="17228454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2283008"/>
        <c:axId val="172284544"/>
      </c:lineChart>
      <c:catAx>
        <c:axId val="172283008"/>
        <c:scaling>
          <c:orientation val="minMax"/>
        </c:scaling>
        <c:axPos val="b"/>
        <c:numFmt formatCode="General" sourceLinked="1"/>
        <c:tickLblPos val="nextTo"/>
        <c:txPr>
          <a:bodyPr/>
          <a:lstStyle/>
          <a:p>
            <a:pPr>
              <a:defRPr sz="800"/>
            </a:pPr>
            <a:endParaRPr lang="en-US"/>
          </a:p>
        </c:txPr>
        <c:crossAx val="172284544"/>
        <c:crosses val="autoZero"/>
        <c:auto val="1"/>
        <c:lblAlgn val="ctr"/>
        <c:lblOffset val="100"/>
      </c:catAx>
      <c:valAx>
        <c:axId val="172284544"/>
        <c:scaling>
          <c:orientation val="minMax"/>
        </c:scaling>
        <c:axPos val="l"/>
        <c:majorGridlines/>
        <c:title>
          <c:tx>
            <c:rich>
              <a:bodyPr rot="0" vert="horz"/>
              <a:lstStyle/>
              <a:p>
                <a:pPr>
                  <a:defRPr/>
                </a:pPr>
                <a:r>
                  <a:rPr lang="en-US"/>
                  <a:t>%</a:t>
                </a:r>
              </a:p>
            </c:rich>
          </c:tx>
          <c:layout/>
        </c:title>
        <c:numFmt formatCode="General" sourceLinked="1"/>
        <c:tickLblPos val="nextTo"/>
        <c:crossAx val="172283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Folkestone &amp; Hythe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4.7</c:v>
                </c:pt>
                <c:pt idx="1">
                  <c:v>4.7</c:v>
                </c:pt>
                <c:pt idx="2">
                  <c:v>5</c:v>
                </c:pt>
              </c:numCache>
            </c:numRef>
          </c:val>
        </c:ser>
        <c:axId val="172196992"/>
        <c:axId val="17219852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2196992"/>
        <c:axId val="172198528"/>
      </c:lineChart>
      <c:catAx>
        <c:axId val="172196992"/>
        <c:scaling>
          <c:orientation val="minMax"/>
        </c:scaling>
        <c:axPos val="b"/>
        <c:numFmt formatCode="General" sourceLinked="1"/>
        <c:tickLblPos val="nextTo"/>
        <c:txPr>
          <a:bodyPr/>
          <a:lstStyle/>
          <a:p>
            <a:pPr>
              <a:defRPr sz="800"/>
            </a:pPr>
            <a:endParaRPr lang="en-US"/>
          </a:p>
        </c:txPr>
        <c:crossAx val="172198528"/>
        <c:crosses val="autoZero"/>
        <c:auto val="1"/>
        <c:lblAlgn val="ctr"/>
        <c:lblOffset val="100"/>
      </c:catAx>
      <c:valAx>
        <c:axId val="172198528"/>
        <c:scaling>
          <c:orientation val="minMax"/>
        </c:scaling>
        <c:axPos val="l"/>
        <c:majorGridlines/>
        <c:title>
          <c:tx>
            <c:rich>
              <a:bodyPr rot="0" vert="horz"/>
              <a:lstStyle/>
              <a:p>
                <a:pPr>
                  <a:defRPr/>
                </a:pPr>
                <a:r>
                  <a:rPr lang="en-US"/>
                  <a:t>%</a:t>
                </a:r>
              </a:p>
            </c:rich>
          </c:tx>
          <c:layout/>
        </c:title>
        <c:numFmt formatCode="General" sourceLinked="1"/>
        <c:tickLblPos val="nextTo"/>
        <c:crossAx val="1721969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Folkestone &amp; Hythe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7.07395498392283</c:v>
                </c:pt>
                <c:pt idx="2">
                  <c:v>6.8852459016393439</c:v>
                </c:pt>
                <c:pt idx="3">
                  <c:v>6.6022544283413849</c:v>
                </c:pt>
                <c:pt idx="4">
                  <c:v>6.4935064935064934</c:v>
                </c:pt>
                <c:pt idx="5">
                  <c:v>6.3191153238546605</c:v>
                </c:pt>
                <c:pt idx="6">
                  <c:v>6.5597667638483967</c:v>
                </c:pt>
                <c:pt idx="7">
                  <c:v>6.5368567454798328</c:v>
                </c:pt>
                <c:pt idx="8">
                  <c:v>6.25</c:v>
                </c:pt>
                <c:pt idx="9">
                  <c:v>6.3858695652173916</c:v>
                </c:pt>
              </c:numCache>
            </c:numRef>
          </c:val>
        </c:ser>
        <c:axId val="172381696"/>
        <c:axId val="172383232"/>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2381696"/>
        <c:axId val="172383232"/>
      </c:lineChart>
      <c:catAx>
        <c:axId val="172381696"/>
        <c:scaling>
          <c:orientation val="minMax"/>
        </c:scaling>
        <c:axPos val="b"/>
        <c:numFmt formatCode="General" sourceLinked="1"/>
        <c:tickLblPos val="nextTo"/>
        <c:txPr>
          <a:bodyPr/>
          <a:lstStyle/>
          <a:p>
            <a:pPr>
              <a:defRPr sz="800"/>
            </a:pPr>
            <a:endParaRPr lang="en-US"/>
          </a:p>
        </c:txPr>
        <c:crossAx val="172383232"/>
        <c:crosses val="autoZero"/>
        <c:auto val="1"/>
        <c:lblAlgn val="ctr"/>
        <c:lblOffset val="100"/>
      </c:catAx>
      <c:valAx>
        <c:axId val="172383232"/>
        <c:scaling>
          <c:orientation val="minMax"/>
        </c:scaling>
        <c:axPos val="l"/>
        <c:majorGridlines/>
        <c:title>
          <c:tx>
            <c:rich>
              <a:bodyPr rot="0" vert="horz"/>
              <a:lstStyle/>
              <a:p>
                <a:pPr>
                  <a:defRPr/>
                </a:pPr>
                <a:r>
                  <a:rPr lang="en-US"/>
                  <a:t>%</a:t>
                </a:r>
              </a:p>
            </c:rich>
          </c:tx>
          <c:layout/>
        </c:title>
        <c:numFmt formatCode="General" sourceLinked="1"/>
        <c:tickLblPos val="nextTo"/>
        <c:crossAx val="1723816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Folkestone &amp; Hythe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65.533351336753981</c:v>
                </c:pt>
                <c:pt idx="1">
                  <c:v>65.364789308604941</c:v>
                </c:pt>
                <c:pt idx="2">
                  <c:v>63.823413034876488</c:v>
                </c:pt>
              </c:numCache>
            </c:numRef>
          </c:val>
        </c:ser>
        <c:marker val="1"/>
        <c:axId val="172447232"/>
        <c:axId val="172448768"/>
      </c:lineChart>
      <c:catAx>
        <c:axId val="172447232"/>
        <c:scaling>
          <c:orientation val="minMax"/>
        </c:scaling>
        <c:axPos val="b"/>
        <c:numFmt formatCode="General" sourceLinked="1"/>
        <c:tickLblPos val="nextTo"/>
        <c:txPr>
          <a:bodyPr/>
          <a:lstStyle/>
          <a:p>
            <a:pPr>
              <a:defRPr sz="800"/>
            </a:pPr>
            <a:endParaRPr lang="en-US"/>
          </a:p>
        </c:txPr>
        <c:crossAx val="172448768"/>
        <c:crosses val="autoZero"/>
        <c:auto val="1"/>
        <c:lblAlgn val="ctr"/>
        <c:lblOffset val="100"/>
      </c:catAx>
      <c:valAx>
        <c:axId val="172448768"/>
        <c:scaling>
          <c:orientation val="minMax"/>
        </c:scaling>
        <c:axPos val="l"/>
        <c:majorGridlines/>
        <c:title>
          <c:tx>
            <c:rich>
              <a:bodyPr rot="0" vert="horz"/>
              <a:lstStyle/>
              <a:p>
                <a:pPr>
                  <a:defRPr/>
                </a:pPr>
                <a:r>
                  <a:rPr lang="en-US"/>
                  <a:t>%</a:t>
                </a:r>
              </a:p>
            </c:rich>
          </c:tx>
          <c:layout/>
        </c:title>
        <c:numFmt formatCode="0.00" sourceLinked="1"/>
        <c:tickLblPos val="nextTo"/>
        <c:crossAx val="1724472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Folkestone &amp; Hythe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34.466648663246019</c:v>
                </c:pt>
                <c:pt idx="1">
                  <c:v>34.635210691395066</c:v>
                </c:pt>
                <c:pt idx="2">
                  <c:v>36.176586965123512</c:v>
                </c:pt>
              </c:numCache>
            </c:numRef>
          </c:val>
        </c:ser>
        <c:marker val="1"/>
        <c:axId val="172484096"/>
        <c:axId val="172485632"/>
      </c:lineChart>
      <c:catAx>
        <c:axId val="172484096"/>
        <c:scaling>
          <c:orientation val="minMax"/>
        </c:scaling>
        <c:axPos val="b"/>
        <c:numFmt formatCode="General" sourceLinked="1"/>
        <c:tickLblPos val="nextTo"/>
        <c:txPr>
          <a:bodyPr/>
          <a:lstStyle/>
          <a:p>
            <a:pPr>
              <a:defRPr sz="800"/>
            </a:pPr>
            <a:endParaRPr lang="en-US"/>
          </a:p>
        </c:txPr>
        <c:crossAx val="172485632"/>
        <c:crosses val="autoZero"/>
        <c:auto val="1"/>
        <c:lblAlgn val="ctr"/>
        <c:lblOffset val="100"/>
      </c:catAx>
      <c:valAx>
        <c:axId val="172485632"/>
        <c:scaling>
          <c:orientation val="minMax"/>
        </c:scaling>
        <c:axPos val="l"/>
        <c:majorGridlines/>
        <c:title>
          <c:tx>
            <c:rich>
              <a:bodyPr rot="0" vert="horz"/>
              <a:lstStyle/>
              <a:p>
                <a:pPr>
                  <a:defRPr/>
                </a:pPr>
                <a:r>
                  <a:rPr lang="en-US"/>
                  <a:t>%</a:t>
                </a:r>
              </a:p>
            </c:rich>
          </c:tx>
          <c:layout/>
        </c:title>
        <c:numFmt formatCode="General" sourceLinked="1"/>
        <c:tickLblPos val="nextTo"/>
        <c:crossAx val="1724840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Folkestone &amp; Hythe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17.899000810153929</c:v>
                </c:pt>
                <c:pt idx="1">
                  <c:v>17.228964952952406</c:v>
                </c:pt>
                <c:pt idx="2">
                  <c:v>17.073653270024305</c:v>
                </c:pt>
              </c:numCache>
            </c:numRef>
          </c:val>
        </c:ser>
        <c:marker val="1"/>
        <c:axId val="172525056"/>
        <c:axId val="172526592"/>
      </c:lineChart>
      <c:catAx>
        <c:axId val="172525056"/>
        <c:scaling>
          <c:orientation val="minMax"/>
        </c:scaling>
        <c:axPos val="b"/>
        <c:numFmt formatCode="General" sourceLinked="1"/>
        <c:tickLblPos val="nextTo"/>
        <c:crossAx val="172526592"/>
        <c:crosses val="autoZero"/>
        <c:auto val="1"/>
        <c:lblAlgn val="ctr"/>
        <c:lblOffset val="100"/>
      </c:catAx>
      <c:valAx>
        <c:axId val="172526592"/>
        <c:scaling>
          <c:orientation val="minMax"/>
        </c:scaling>
        <c:axPos val="l"/>
        <c:majorGridlines/>
        <c:title>
          <c:tx>
            <c:rich>
              <a:bodyPr rot="0" vert="horz"/>
              <a:lstStyle/>
              <a:p>
                <a:pPr>
                  <a:defRPr/>
                </a:pPr>
                <a:r>
                  <a:rPr lang="en-US"/>
                  <a:t>%</a:t>
                </a:r>
              </a:p>
            </c:rich>
          </c:tx>
          <c:layout/>
        </c:title>
        <c:numFmt formatCode="General" sourceLinked="1"/>
        <c:tickLblPos val="nextTo"/>
        <c:crossAx val="172525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Folkestone &amp; Hythe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64.861194930597463</c:v>
                </c:pt>
                <c:pt idx="1">
                  <c:v>66.423935412379294</c:v>
                </c:pt>
                <c:pt idx="2">
                  <c:v>64.244330408872699</c:v>
                </c:pt>
              </c:numCache>
            </c:numRef>
          </c:val>
        </c:ser>
        <c:marker val="1"/>
        <c:axId val="172639744"/>
        <c:axId val="172641280"/>
      </c:lineChart>
      <c:catAx>
        <c:axId val="172639744"/>
        <c:scaling>
          <c:orientation val="minMax"/>
        </c:scaling>
        <c:axPos val="b"/>
        <c:numFmt formatCode="General" sourceLinked="1"/>
        <c:tickLblPos val="nextTo"/>
        <c:txPr>
          <a:bodyPr/>
          <a:lstStyle/>
          <a:p>
            <a:pPr>
              <a:defRPr sz="800"/>
            </a:pPr>
            <a:endParaRPr lang="en-US"/>
          </a:p>
        </c:txPr>
        <c:crossAx val="172641280"/>
        <c:crosses val="autoZero"/>
        <c:auto val="1"/>
        <c:lblAlgn val="ctr"/>
        <c:lblOffset val="100"/>
      </c:catAx>
      <c:valAx>
        <c:axId val="172641280"/>
        <c:scaling>
          <c:orientation val="minMax"/>
        </c:scaling>
        <c:axPos val="l"/>
        <c:majorGridlines/>
        <c:title>
          <c:tx>
            <c:rich>
              <a:bodyPr rot="0" vert="horz"/>
              <a:lstStyle/>
              <a:p>
                <a:pPr>
                  <a:defRPr/>
                </a:pPr>
                <a:r>
                  <a:rPr lang="en-US"/>
                  <a:t>%</a:t>
                </a:r>
              </a:p>
            </c:rich>
          </c:tx>
          <c:layout/>
        </c:title>
        <c:numFmt formatCode="General" sourceLinked="1"/>
        <c:tickLblPos val="nextTo"/>
        <c:crossAx val="1726397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Folkestone &amp; Hythe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35.138805069402537</c:v>
                </c:pt>
                <c:pt idx="1">
                  <c:v>33.591894886813364</c:v>
                </c:pt>
                <c:pt idx="2">
                  <c:v>35.755669591127294</c:v>
                </c:pt>
              </c:numCache>
            </c:numRef>
          </c:val>
        </c:ser>
        <c:marker val="1"/>
        <c:axId val="172684800"/>
        <c:axId val="172686336"/>
      </c:lineChart>
      <c:catAx>
        <c:axId val="172684800"/>
        <c:scaling>
          <c:orientation val="minMax"/>
        </c:scaling>
        <c:axPos val="b"/>
        <c:numFmt formatCode="General" sourceLinked="1"/>
        <c:tickLblPos val="nextTo"/>
        <c:txPr>
          <a:bodyPr/>
          <a:lstStyle/>
          <a:p>
            <a:pPr>
              <a:defRPr sz="800"/>
            </a:pPr>
            <a:endParaRPr lang="en-US"/>
          </a:p>
        </c:txPr>
        <c:crossAx val="172686336"/>
        <c:crosses val="autoZero"/>
        <c:auto val="1"/>
        <c:lblAlgn val="ctr"/>
        <c:lblOffset val="100"/>
      </c:catAx>
      <c:valAx>
        <c:axId val="172686336"/>
        <c:scaling>
          <c:orientation val="minMax"/>
        </c:scaling>
        <c:axPos val="l"/>
        <c:majorGridlines/>
        <c:title>
          <c:tx>
            <c:rich>
              <a:bodyPr rot="0" vert="horz"/>
              <a:lstStyle/>
              <a:p>
                <a:pPr>
                  <a:defRPr/>
                </a:pPr>
                <a:r>
                  <a:rPr lang="en-US"/>
                  <a:t>%</a:t>
                </a:r>
              </a:p>
            </c:rich>
          </c:tx>
          <c:layout/>
        </c:title>
        <c:numFmt formatCode="General" sourceLinked="1"/>
        <c:tickLblPos val="nextTo"/>
        <c:crossAx val="172684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Folkestone &amp; Hythe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82.100999189846064</c:v>
                </c:pt>
                <c:pt idx="1">
                  <c:v>82.77103504704759</c:v>
                </c:pt>
                <c:pt idx="2">
                  <c:v>82.926346729975691</c:v>
                </c:pt>
              </c:numCache>
            </c:numRef>
          </c:val>
        </c:ser>
        <c:marker val="1"/>
        <c:axId val="172594688"/>
        <c:axId val="172596224"/>
      </c:lineChart>
      <c:catAx>
        <c:axId val="172594688"/>
        <c:scaling>
          <c:orientation val="minMax"/>
        </c:scaling>
        <c:axPos val="b"/>
        <c:numFmt formatCode="General" sourceLinked="1"/>
        <c:tickLblPos val="nextTo"/>
        <c:crossAx val="172596224"/>
        <c:crosses val="autoZero"/>
        <c:auto val="1"/>
        <c:lblAlgn val="ctr"/>
        <c:lblOffset val="100"/>
      </c:catAx>
      <c:valAx>
        <c:axId val="172596224"/>
        <c:scaling>
          <c:orientation val="minMax"/>
        </c:scaling>
        <c:axPos val="l"/>
        <c:majorGridlines/>
        <c:title>
          <c:tx>
            <c:rich>
              <a:bodyPr rot="0" vert="horz"/>
              <a:lstStyle/>
              <a:p>
                <a:pPr>
                  <a:defRPr/>
                </a:pPr>
                <a:r>
                  <a:rPr lang="en-US"/>
                  <a:t>%</a:t>
                </a:r>
              </a:p>
            </c:rich>
          </c:tx>
          <c:layout/>
        </c:title>
        <c:numFmt formatCode="General" sourceLinked="1"/>
        <c:tickLblPos val="nextTo"/>
        <c:crossAx val="172594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0.9</c:v>
                </c:pt>
                <c:pt idx="1">
                  <c:v>4.2</c:v>
                </c:pt>
                <c:pt idx="2">
                  <c:v>6.2</c:v>
                </c:pt>
                <c:pt idx="3">
                  <c:v>5.2</c:v>
                </c:pt>
                <c:pt idx="4">
                  <c:v>2.1</c:v>
                </c:pt>
                <c:pt idx="5">
                  <c:v>2.9</c:v>
                </c:pt>
                <c:pt idx="6">
                  <c:v>7.3</c:v>
                </c:pt>
                <c:pt idx="7">
                  <c:v>8.3000000000000007</c:v>
                </c:pt>
                <c:pt idx="8">
                  <c:v>6.2</c:v>
                </c:pt>
                <c:pt idx="9">
                  <c:v>2.9</c:v>
                </c:pt>
                <c:pt idx="10">
                  <c:v>6.2</c:v>
                </c:pt>
                <c:pt idx="11">
                  <c:v>1.5</c:v>
                </c:pt>
                <c:pt idx="12">
                  <c:v>5.2</c:v>
                </c:pt>
                <c:pt idx="13">
                  <c:v>10.4</c:v>
                </c:pt>
                <c:pt idx="14">
                  <c:v>7.3</c:v>
                </c:pt>
                <c:pt idx="15">
                  <c:v>8.3000000000000007</c:v>
                </c:pt>
                <c:pt idx="16">
                  <c:v>12.5</c:v>
                </c:pt>
                <c:pt idx="17">
                  <c:v>3.3</c:v>
                </c:pt>
              </c:numCache>
            </c:numRef>
          </c:val>
        </c:ser>
        <c:ser>
          <c:idx val="7"/>
          <c:order val="1"/>
          <c:tx>
            <c:strRef>
              <c:f>'front page'!$AM$19</c:f>
              <c:strCache>
                <c:ptCount val="1"/>
                <c:pt idx="0">
                  <c:v>2016</c:v>
                </c:pt>
              </c:strCache>
            </c:strRef>
          </c:tx>
          <c:val>
            <c:numRef>
              <c:f>'front page'!$AM$20:$AM$37</c:f>
              <c:numCache>
                <c:formatCode>General</c:formatCode>
                <c:ptCount val="18"/>
                <c:pt idx="0">
                  <c:v>0.7</c:v>
                </c:pt>
                <c:pt idx="1">
                  <c:v>3.8</c:v>
                </c:pt>
                <c:pt idx="2">
                  <c:v>6.2</c:v>
                </c:pt>
                <c:pt idx="3">
                  <c:v>6.2</c:v>
                </c:pt>
                <c:pt idx="4">
                  <c:v>2.1</c:v>
                </c:pt>
                <c:pt idx="5">
                  <c:v>3.3</c:v>
                </c:pt>
                <c:pt idx="6">
                  <c:v>6.2</c:v>
                </c:pt>
                <c:pt idx="7">
                  <c:v>8.3000000000000007</c:v>
                </c:pt>
                <c:pt idx="8">
                  <c:v>5.2</c:v>
                </c:pt>
                <c:pt idx="9">
                  <c:v>2.1</c:v>
                </c:pt>
                <c:pt idx="10">
                  <c:v>6.2</c:v>
                </c:pt>
                <c:pt idx="11">
                  <c:v>1.9</c:v>
                </c:pt>
                <c:pt idx="12">
                  <c:v>5.2</c:v>
                </c:pt>
                <c:pt idx="13">
                  <c:v>12.5</c:v>
                </c:pt>
                <c:pt idx="14">
                  <c:v>8.3000000000000007</c:v>
                </c:pt>
                <c:pt idx="15">
                  <c:v>8.3000000000000007</c:v>
                </c:pt>
                <c:pt idx="16">
                  <c:v>9.4</c:v>
                </c:pt>
                <c:pt idx="17">
                  <c:v>3.8</c:v>
                </c:pt>
              </c:numCache>
            </c:numRef>
          </c:val>
        </c:ser>
        <c:ser>
          <c:idx val="0"/>
          <c:order val="2"/>
          <c:tx>
            <c:strRef>
              <c:f>'front page'!$AN$19</c:f>
              <c:strCache>
                <c:ptCount val="1"/>
                <c:pt idx="0">
                  <c:v>2017</c:v>
                </c:pt>
              </c:strCache>
            </c:strRef>
          </c:tx>
          <c:val>
            <c:numRef>
              <c:f>'front page'!$AN$20:$AN$37</c:f>
              <c:numCache>
                <c:formatCode>General</c:formatCode>
                <c:ptCount val="18"/>
                <c:pt idx="0">
                  <c:v>0.9</c:v>
                </c:pt>
                <c:pt idx="1">
                  <c:v>3.9</c:v>
                </c:pt>
                <c:pt idx="2">
                  <c:v>6.5</c:v>
                </c:pt>
                <c:pt idx="3">
                  <c:v>6.5</c:v>
                </c:pt>
                <c:pt idx="4">
                  <c:v>2.2000000000000002</c:v>
                </c:pt>
                <c:pt idx="5">
                  <c:v>3.5</c:v>
                </c:pt>
                <c:pt idx="6">
                  <c:v>5.4</c:v>
                </c:pt>
                <c:pt idx="7">
                  <c:v>8.6999999999999993</c:v>
                </c:pt>
                <c:pt idx="8">
                  <c:v>5.4</c:v>
                </c:pt>
                <c:pt idx="9">
                  <c:v>1.7</c:v>
                </c:pt>
                <c:pt idx="10">
                  <c:v>5.4</c:v>
                </c:pt>
                <c:pt idx="11">
                  <c:v>2</c:v>
                </c:pt>
                <c:pt idx="12">
                  <c:v>4.3</c:v>
                </c:pt>
                <c:pt idx="13">
                  <c:v>10.9</c:v>
                </c:pt>
                <c:pt idx="14">
                  <c:v>7.6</c:v>
                </c:pt>
                <c:pt idx="15">
                  <c:v>6.5</c:v>
                </c:pt>
                <c:pt idx="16">
                  <c:v>10.9</c:v>
                </c:pt>
                <c:pt idx="17">
                  <c:v>3.9</c:v>
                </c:pt>
              </c:numCache>
            </c:numRef>
          </c:val>
        </c:ser>
        <c:axId val="170349312"/>
        <c:axId val="170350848"/>
      </c:barChart>
      <c:catAx>
        <c:axId val="170349312"/>
        <c:scaling>
          <c:orientation val="minMax"/>
        </c:scaling>
        <c:axPos val="b"/>
        <c:numFmt formatCode="General" sourceLinked="1"/>
        <c:tickLblPos val="nextTo"/>
        <c:txPr>
          <a:bodyPr/>
          <a:lstStyle/>
          <a:p>
            <a:pPr>
              <a:defRPr sz="900"/>
            </a:pPr>
            <a:endParaRPr lang="en-US"/>
          </a:p>
        </c:txPr>
        <c:crossAx val="170350848"/>
        <c:crosses val="autoZero"/>
        <c:auto val="1"/>
        <c:lblAlgn val="ctr"/>
        <c:lblOffset val="100"/>
      </c:catAx>
      <c:valAx>
        <c:axId val="170350848"/>
        <c:scaling>
          <c:orientation val="minMax"/>
        </c:scaling>
        <c:axPos val="l"/>
        <c:majorGridlines/>
        <c:title>
          <c:tx>
            <c:rich>
              <a:bodyPr rot="0" vert="horz"/>
              <a:lstStyle/>
              <a:p>
                <a:pPr>
                  <a:defRPr/>
                </a:pPr>
                <a:r>
                  <a:rPr lang="en-US"/>
                  <a:t>%</a:t>
                </a:r>
              </a:p>
            </c:rich>
          </c:tx>
          <c:layout/>
        </c:title>
        <c:numFmt formatCode="General" sourceLinked="1"/>
        <c:tickLblPos val="nextTo"/>
        <c:crossAx val="1703493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Folkestone &amp; Hythe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65.679889480955197</c:v>
                </c:pt>
                <c:pt idx="1">
                  <c:v>65.147620930539077</c:v>
                </c:pt>
                <c:pt idx="2">
                  <c:v>63.736750621996521</c:v>
                </c:pt>
              </c:numCache>
            </c:numRef>
          </c:val>
        </c:ser>
        <c:marker val="1"/>
        <c:axId val="172762624"/>
        <c:axId val="172764160"/>
      </c:lineChart>
      <c:catAx>
        <c:axId val="172762624"/>
        <c:scaling>
          <c:orientation val="minMax"/>
        </c:scaling>
        <c:axPos val="b"/>
        <c:numFmt formatCode="General" sourceLinked="1"/>
        <c:tickLblPos val="nextTo"/>
        <c:txPr>
          <a:bodyPr/>
          <a:lstStyle/>
          <a:p>
            <a:pPr>
              <a:defRPr sz="800"/>
            </a:pPr>
            <a:endParaRPr lang="en-US"/>
          </a:p>
        </c:txPr>
        <c:crossAx val="172764160"/>
        <c:crosses val="autoZero"/>
        <c:auto val="1"/>
        <c:lblAlgn val="ctr"/>
        <c:lblOffset val="100"/>
      </c:catAx>
      <c:valAx>
        <c:axId val="172764160"/>
        <c:scaling>
          <c:orientation val="minMax"/>
        </c:scaling>
        <c:axPos val="l"/>
        <c:majorGridlines/>
        <c:title>
          <c:tx>
            <c:rich>
              <a:bodyPr rot="0" vert="horz"/>
              <a:lstStyle/>
              <a:p>
                <a:pPr>
                  <a:defRPr/>
                </a:pPr>
                <a:r>
                  <a:rPr lang="en-US"/>
                  <a:t>%</a:t>
                </a:r>
              </a:p>
            </c:rich>
          </c:tx>
          <c:layout/>
        </c:title>
        <c:numFmt formatCode="General" sourceLinked="1"/>
        <c:tickLblPos val="nextTo"/>
        <c:crossAx val="17276262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Folkestone &amp; Hythe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34.320110519044796</c:v>
                </c:pt>
                <c:pt idx="1">
                  <c:v>34.855674179517592</c:v>
                </c:pt>
                <c:pt idx="2">
                  <c:v>36.263249378003479</c:v>
                </c:pt>
              </c:numCache>
            </c:numRef>
          </c:val>
        </c:ser>
        <c:marker val="1"/>
        <c:axId val="172688896"/>
        <c:axId val="172690432"/>
      </c:lineChart>
      <c:catAx>
        <c:axId val="172688896"/>
        <c:scaling>
          <c:orientation val="minMax"/>
        </c:scaling>
        <c:axPos val="b"/>
        <c:numFmt formatCode="General" sourceLinked="1"/>
        <c:tickLblPos val="nextTo"/>
        <c:txPr>
          <a:bodyPr/>
          <a:lstStyle/>
          <a:p>
            <a:pPr>
              <a:defRPr sz="800"/>
            </a:pPr>
            <a:endParaRPr lang="en-US"/>
          </a:p>
        </c:txPr>
        <c:crossAx val="172690432"/>
        <c:crosses val="autoZero"/>
        <c:auto val="1"/>
        <c:lblAlgn val="ctr"/>
        <c:lblOffset val="100"/>
      </c:catAx>
      <c:valAx>
        <c:axId val="172690432"/>
        <c:scaling>
          <c:orientation val="minMax"/>
        </c:scaling>
        <c:axPos val="l"/>
        <c:majorGridlines/>
        <c:title>
          <c:tx>
            <c:rich>
              <a:bodyPr rot="0" vert="horz"/>
              <a:lstStyle/>
              <a:p>
                <a:pPr>
                  <a:defRPr/>
                </a:pPr>
                <a:r>
                  <a:rPr lang="en-US"/>
                  <a:t>%</a:t>
                </a:r>
              </a:p>
            </c:rich>
          </c:tx>
          <c:layout/>
        </c:title>
        <c:numFmt formatCode="General" sourceLinked="1"/>
        <c:tickLblPos val="nextTo"/>
        <c:crossAx val="1726888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Folkestone &amp; Hythe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0.72</c:v>
                </c:pt>
                <c:pt idx="2">
                  <c:v>0.76</c:v>
                </c:pt>
                <c:pt idx="3">
                  <c:v>0.73</c:v>
                </c:pt>
                <c:pt idx="4">
                  <c:v>0.72</c:v>
                </c:pt>
              </c:numCache>
            </c:numRef>
          </c:val>
        </c:ser>
        <c:axId val="172734336"/>
        <c:axId val="17273587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2734336"/>
        <c:axId val="172735872"/>
      </c:lineChart>
      <c:catAx>
        <c:axId val="172734336"/>
        <c:scaling>
          <c:orientation val="minMax"/>
        </c:scaling>
        <c:axPos val="b"/>
        <c:numFmt formatCode="General" sourceLinked="1"/>
        <c:tickLblPos val="nextTo"/>
        <c:crossAx val="172735872"/>
        <c:crosses val="autoZero"/>
        <c:auto val="1"/>
        <c:lblAlgn val="ctr"/>
        <c:lblOffset val="100"/>
      </c:catAx>
      <c:valAx>
        <c:axId val="17273587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273433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Folkestone &amp; Hythe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18.8</c:v>
                </c:pt>
                <c:pt idx="2">
                  <c:v>20.100000000000001</c:v>
                </c:pt>
                <c:pt idx="3">
                  <c:v>18.2</c:v>
                </c:pt>
                <c:pt idx="4">
                  <c:v>19.100000000000001</c:v>
                </c:pt>
                <c:pt idx="5">
                  <c:v>19.899999999999999</c:v>
                </c:pt>
                <c:pt idx="6">
                  <c:v>19.100000000000001</c:v>
                </c:pt>
                <c:pt idx="7">
                  <c:v>21.4</c:v>
                </c:pt>
                <c:pt idx="8">
                  <c:v>19.8</c:v>
                </c:pt>
                <c:pt idx="9">
                  <c:v>19.899999999999999</c:v>
                </c:pt>
                <c:pt idx="10">
                  <c:v>22.1</c:v>
                </c:pt>
                <c:pt idx="11">
                  <c:v>20.7</c:v>
                </c:pt>
                <c:pt idx="12">
                  <c:v>22.2</c:v>
                </c:pt>
                <c:pt idx="13">
                  <c:v>20.6</c:v>
                </c:pt>
                <c:pt idx="14">
                  <c:v>17</c:v>
                </c:pt>
                <c:pt idx="15">
                  <c:v>17.399999999999999</c:v>
                </c:pt>
                <c:pt idx="16">
                  <c:v>21.3</c:v>
                </c:pt>
                <c:pt idx="17">
                  <c:v>21.6</c:v>
                </c:pt>
                <c:pt idx="18">
                  <c:v>19.2</c:v>
                </c:pt>
                <c:pt idx="19">
                  <c:v>19.100000000000001</c:v>
                </c:pt>
                <c:pt idx="20">
                  <c:v>16.600000000000001</c:v>
                </c:pt>
                <c:pt idx="21">
                  <c:v>18.600000000000001</c:v>
                </c:pt>
                <c:pt idx="22">
                  <c:v>19.100000000000001</c:v>
                </c:pt>
                <c:pt idx="23">
                  <c:v>19.8</c:v>
                </c:pt>
                <c:pt idx="24">
                  <c:v>19.600000000000001</c:v>
                </c:pt>
                <c:pt idx="25">
                  <c:v>19.2</c:v>
                </c:pt>
                <c:pt idx="26">
                  <c:v>20.3</c:v>
                </c:pt>
                <c:pt idx="27">
                  <c:v>21</c:v>
                </c:pt>
                <c:pt idx="28">
                  <c:v>24</c:v>
                </c:pt>
                <c:pt idx="29">
                  <c:v>26.8</c:v>
                </c:pt>
              </c:numCache>
            </c:numRef>
          </c:val>
        </c:ser>
        <c:axId val="172866176"/>
        <c:axId val="17288025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2866176"/>
        <c:axId val="172880256"/>
      </c:lineChart>
      <c:catAx>
        <c:axId val="172866176"/>
        <c:scaling>
          <c:orientation val="minMax"/>
        </c:scaling>
        <c:axPos val="b"/>
        <c:tickLblPos val="nextTo"/>
        <c:txPr>
          <a:bodyPr/>
          <a:lstStyle/>
          <a:p>
            <a:pPr>
              <a:defRPr sz="1000"/>
            </a:pPr>
            <a:endParaRPr lang="en-US"/>
          </a:p>
        </c:txPr>
        <c:crossAx val="172880256"/>
        <c:crosses val="autoZero"/>
        <c:auto val="1"/>
        <c:lblAlgn val="ctr"/>
        <c:lblOffset val="100"/>
      </c:catAx>
      <c:valAx>
        <c:axId val="172880256"/>
        <c:scaling>
          <c:orientation val="minMax"/>
        </c:scaling>
        <c:axPos val="l"/>
        <c:majorGridlines/>
        <c:title>
          <c:tx>
            <c:rich>
              <a:bodyPr rot="0" vert="horz"/>
              <a:lstStyle/>
              <a:p>
                <a:pPr>
                  <a:defRPr/>
                </a:pPr>
                <a:r>
                  <a:rPr lang="en-US"/>
                  <a:t>%</a:t>
                </a:r>
              </a:p>
            </c:rich>
          </c:tx>
          <c:layout/>
        </c:title>
        <c:numFmt formatCode="General" sourceLinked="1"/>
        <c:tickLblPos val="nextTo"/>
        <c:crossAx val="1728661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Folkestone &amp; Hythe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61.3</c:v>
                </c:pt>
                <c:pt idx="2">
                  <c:v>66.5</c:v>
                </c:pt>
                <c:pt idx="3">
                  <c:v>69.2</c:v>
                </c:pt>
                <c:pt idx="4">
                  <c:v>73.3</c:v>
                </c:pt>
                <c:pt idx="5">
                  <c:v>71.599999999999994</c:v>
                </c:pt>
                <c:pt idx="6">
                  <c:v>71.7</c:v>
                </c:pt>
                <c:pt idx="7">
                  <c:v>64.400000000000006</c:v>
                </c:pt>
                <c:pt idx="8">
                  <c:v>60</c:v>
                </c:pt>
                <c:pt idx="9">
                  <c:v>48.1</c:v>
                </c:pt>
                <c:pt idx="10">
                  <c:v>53</c:v>
                </c:pt>
                <c:pt idx="11">
                  <c:v>54.9</c:v>
                </c:pt>
                <c:pt idx="12">
                  <c:v>47.4</c:v>
                </c:pt>
                <c:pt idx="13">
                  <c:v>55.7</c:v>
                </c:pt>
                <c:pt idx="14">
                  <c:v>50.1</c:v>
                </c:pt>
                <c:pt idx="15">
                  <c:v>57.7</c:v>
                </c:pt>
                <c:pt idx="16">
                  <c:v>60.9</c:v>
                </c:pt>
                <c:pt idx="17">
                  <c:v>67.3</c:v>
                </c:pt>
                <c:pt idx="18">
                  <c:v>66.7</c:v>
                </c:pt>
                <c:pt idx="19">
                  <c:v>70.099999999999994</c:v>
                </c:pt>
                <c:pt idx="20">
                  <c:v>83.5</c:v>
                </c:pt>
                <c:pt idx="21">
                  <c:v>70.900000000000006</c:v>
                </c:pt>
                <c:pt idx="22">
                  <c:v>69.7</c:v>
                </c:pt>
                <c:pt idx="23">
                  <c:v>68.2</c:v>
                </c:pt>
                <c:pt idx="24">
                  <c:v>73.3</c:v>
                </c:pt>
                <c:pt idx="25">
                  <c:v>85.2</c:v>
                </c:pt>
                <c:pt idx="26">
                  <c:v>89</c:v>
                </c:pt>
                <c:pt idx="27">
                  <c:v>89.5</c:v>
                </c:pt>
                <c:pt idx="28">
                  <c:v>87</c:v>
                </c:pt>
                <c:pt idx="29">
                  <c:v>82.1</c:v>
                </c:pt>
              </c:numCache>
            </c:numRef>
          </c:val>
        </c:ser>
        <c:axId val="172903808"/>
        <c:axId val="17291788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2903808"/>
        <c:axId val="172917888"/>
      </c:lineChart>
      <c:catAx>
        <c:axId val="172903808"/>
        <c:scaling>
          <c:orientation val="minMax"/>
        </c:scaling>
        <c:axPos val="b"/>
        <c:tickLblPos val="nextTo"/>
        <c:crossAx val="172917888"/>
        <c:crosses val="autoZero"/>
        <c:auto val="1"/>
        <c:lblAlgn val="ctr"/>
        <c:lblOffset val="100"/>
      </c:catAx>
      <c:valAx>
        <c:axId val="172917888"/>
        <c:scaling>
          <c:orientation val="minMax"/>
        </c:scaling>
        <c:axPos val="l"/>
        <c:majorGridlines/>
        <c:title>
          <c:tx>
            <c:rich>
              <a:bodyPr rot="0" vert="horz"/>
              <a:lstStyle/>
              <a:p>
                <a:pPr>
                  <a:defRPr/>
                </a:pPr>
                <a:r>
                  <a:rPr lang="en-US"/>
                  <a:t>%</a:t>
                </a:r>
              </a:p>
            </c:rich>
          </c:tx>
          <c:layout/>
        </c:title>
        <c:numFmt formatCode="General" sourceLinked="1"/>
        <c:tickLblPos val="nextTo"/>
        <c:crossAx val="17290380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Folkestone &amp; Hythe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3.3</c:v>
                </c:pt>
                <c:pt idx="2">
                  <c:v>3.3</c:v>
                </c:pt>
                <c:pt idx="3">
                  <c:v>3.2</c:v>
                </c:pt>
                <c:pt idx="4">
                  <c:v>3.3</c:v>
                </c:pt>
                <c:pt idx="5">
                  <c:v>3.3</c:v>
                </c:pt>
                <c:pt idx="6">
                  <c:v>3.3</c:v>
                </c:pt>
                <c:pt idx="7">
                  <c:v>3.1</c:v>
                </c:pt>
                <c:pt idx="8">
                  <c:v>2.8</c:v>
                </c:pt>
                <c:pt idx="9">
                  <c:v>2.7</c:v>
                </c:pt>
                <c:pt idx="10">
                  <c:v>2.5</c:v>
                </c:pt>
                <c:pt idx="11">
                  <c:v>2.6</c:v>
                </c:pt>
                <c:pt idx="12">
                  <c:v>2.4</c:v>
                </c:pt>
                <c:pt idx="13">
                  <c:v>2.4</c:v>
                </c:pt>
                <c:pt idx="14">
                  <c:v>2.2999999999999998</c:v>
                </c:pt>
                <c:pt idx="15">
                  <c:v>2.4</c:v>
                </c:pt>
                <c:pt idx="16">
                  <c:v>2.4</c:v>
                </c:pt>
                <c:pt idx="17">
                  <c:v>2.4</c:v>
                </c:pt>
                <c:pt idx="18">
                  <c:v>2.4</c:v>
                </c:pt>
                <c:pt idx="19">
                  <c:v>2.2999999999999998</c:v>
                </c:pt>
                <c:pt idx="20">
                  <c:v>2.2000000000000002</c:v>
                </c:pt>
                <c:pt idx="21">
                  <c:v>2</c:v>
                </c:pt>
                <c:pt idx="22">
                  <c:v>1.8</c:v>
                </c:pt>
                <c:pt idx="23">
                  <c:v>1.8</c:v>
                </c:pt>
                <c:pt idx="24">
                  <c:v>1.7</c:v>
                </c:pt>
                <c:pt idx="25">
                  <c:v>1.7</c:v>
                </c:pt>
                <c:pt idx="26">
                  <c:v>1.8</c:v>
                </c:pt>
                <c:pt idx="27">
                  <c:v>1.9</c:v>
                </c:pt>
                <c:pt idx="28">
                  <c:v>2</c:v>
                </c:pt>
                <c:pt idx="29">
                  <c:v>2.1</c:v>
                </c:pt>
                <c:pt idx="30">
                  <c:v>2.1</c:v>
                </c:pt>
                <c:pt idx="31">
                  <c:v>2.1</c:v>
                </c:pt>
                <c:pt idx="32">
                  <c:v>2.1</c:v>
                </c:pt>
                <c:pt idx="33">
                  <c:v>2.1</c:v>
                </c:pt>
                <c:pt idx="34">
                  <c:v>2</c:v>
                </c:pt>
                <c:pt idx="35">
                  <c:v>2</c:v>
                </c:pt>
                <c:pt idx="36">
                  <c:v>2.1</c:v>
                </c:pt>
                <c:pt idx="37">
                  <c:v>2</c:v>
                </c:pt>
                <c:pt idx="38">
                  <c:v>2</c:v>
                </c:pt>
                <c:pt idx="39">
                  <c:v>2</c:v>
                </c:pt>
                <c:pt idx="40">
                  <c:v>2.1</c:v>
                </c:pt>
                <c:pt idx="41">
                  <c:v>2.1</c:v>
                </c:pt>
                <c:pt idx="42">
                  <c:v>2.2000000000000002</c:v>
                </c:pt>
                <c:pt idx="43">
                  <c:v>2.2999999999999998</c:v>
                </c:pt>
                <c:pt idx="44">
                  <c:v>2.2000000000000002</c:v>
                </c:pt>
                <c:pt idx="45">
                  <c:v>2.2000000000000002</c:v>
                </c:pt>
                <c:pt idx="46">
                  <c:v>2.1</c:v>
                </c:pt>
                <c:pt idx="47">
                  <c:v>2.1</c:v>
                </c:pt>
                <c:pt idx="48">
                  <c:v>2</c:v>
                </c:pt>
                <c:pt idx="49">
                  <c:v>2</c:v>
                </c:pt>
                <c:pt idx="50">
                  <c:v>2.1</c:v>
                </c:pt>
                <c:pt idx="51">
                  <c:v>2.1</c:v>
                </c:pt>
                <c:pt idx="52">
                  <c:v>2.2000000000000002</c:v>
                </c:pt>
                <c:pt idx="53">
                  <c:v>2.2999999999999998</c:v>
                </c:pt>
                <c:pt idx="54">
                  <c:v>2.4</c:v>
                </c:pt>
                <c:pt idx="55">
                  <c:v>2.5</c:v>
                </c:pt>
                <c:pt idx="56">
                  <c:v>2.4</c:v>
                </c:pt>
                <c:pt idx="57">
                  <c:v>2.4</c:v>
                </c:pt>
                <c:pt idx="58">
                  <c:v>2.2999999999999998</c:v>
                </c:pt>
                <c:pt idx="59">
                  <c:v>2.2999999999999998</c:v>
                </c:pt>
                <c:pt idx="60">
                  <c:v>2.2999999999999998</c:v>
                </c:pt>
                <c:pt idx="61">
                  <c:v>2.4</c:v>
                </c:pt>
              </c:numCache>
            </c:numRef>
          </c:val>
        </c:ser>
        <c:axId val="173101056"/>
        <c:axId val="17310259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73101056"/>
        <c:axId val="173102592"/>
      </c:lineChart>
      <c:catAx>
        <c:axId val="173101056"/>
        <c:scaling>
          <c:orientation val="minMax"/>
        </c:scaling>
        <c:axPos val="b"/>
        <c:tickLblPos val="nextTo"/>
        <c:crossAx val="173102592"/>
        <c:crosses val="autoZero"/>
        <c:auto val="1"/>
        <c:lblAlgn val="ctr"/>
        <c:lblOffset val="100"/>
      </c:catAx>
      <c:valAx>
        <c:axId val="173102592"/>
        <c:scaling>
          <c:orientation val="minMax"/>
        </c:scaling>
        <c:axPos val="l"/>
        <c:majorGridlines/>
        <c:numFmt formatCode="General" sourceLinked="1"/>
        <c:tickLblPos val="nextTo"/>
        <c:crossAx val="1731010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0.6</c:v>
                </c:pt>
                <c:pt idx="1">
                  <c:v>0.2</c:v>
                </c:pt>
                <c:pt idx="2">
                  <c:v>1</c:v>
                </c:pt>
                <c:pt idx="3">
                  <c:v>1.5</c:v>
                </c:pt>
                <c:pt idx="4">
                  <c:v>0.6</c:v>
                </c:pt>
                <c:pt idx="5">
                  <c:v>1</c:v>
                </c:pt>
                <c:pt idx="6">
                  <c:v>19.2</c:v>
                </c:pt>
                <c:pt idx="7">
                  <c:v>2.7</c:v>
                </c:pt>
                <c:pt idx="8">
                  <c:v>15.4</c:v>
                </c:pt>
                <c:pt idx="9">
                  <c:v>1</c:v>
                </c:pt>
                <c:pt idx="10">
                  <c:v>2.2999999999999998</c:v>
                </c:pt>
                <c:pt idx="11">
                  <c:v>1.3</c:v>
                </c:pt>
                <c:pt idx="12">
                  <c:v>2.7</c:v>
                </c:pt>
                <c:pt idx="13">
                  <c:v>11.5</c:v>
                </c:pt>
                <c:pt idx="14">
                  <c:v>3.8</c:v>
                </c:pt>
                <c:pt idx="15">
                  <c:v>11.5</c:v>
                </c:pt>
                <c:pt idx="16">
                  <c:v>17.3</c:v>
                </c:pt>
                <c:pt idx="17">
                  <c:v>6.2</c:v>
                </c:pt>
              </c:numCache>
            </c:numRef>
          </c:val>
        </c:ser>
        <c:ser>
          <c:idx val="7"/>
          <c:order val="1"/>
          <c:tx>
            <c:strRef>
              <c:f>'front page'!$BP$19</c:f>
              <c:strCache>
                <c:ptCount val="1"/>
                <c:pt idx="0">
                  <c:v>2016</c:v>
                </c:pt>
              </c:strCache>
            </c:strRef>
          </c:tx>
          <c:val>
            <c:numRef>
              <c:f>'front page'!$BP$20:$BP$37</c:f>
              <c:numCache>
                <c:formatCode>General</c:formatCode>
                <c:ptCount val="18"/>
                <c:pt idx="0">
                  <c:v>0.4</c:v>
                </c:pt>
                <c:pt idx="1">
                  <c:v>0.2</c:v>
                </c:pt>
                <c:pt idx="2">
                  <c:v>1.3</c:v>
                </c:pt>
                <c:pt idx="3">
                  <c:v>2.2999999999999998</c:v>
                </c:pt>
                <c:pt idx="4">
                  <c:v>0.8</c:v>
                </c:pt>
                <c:pt idx="5">
                  <c:v>1</c:v>
                </c:pt>
                <c:pt idx="6">
                  <c:v>19.2</c:v>
                </c:pt>
                <c:pt idx="7">
                  <c:v>4.5999999999999996</c:v>
                </c:pt>
                <c:pt idx="8">
                  <c:v>11.5</c:v>
                </c:pt>
                <c:pt idx="9">
                  <c:v>0.8</c:v>
                </c:pt>
                <c:pt idx="10">
                  <c:v>2.7</c:v>
                </c:pt>
                <c:pt idx="11">
                  <c:v>1.7</c:v>
                </c:pt>
                <c:pt idx="12">
                  <c:v>3.5</c:v>
                </c:pt>
                <c:pt idx="13">
                  <c:v>11.5</c:v>
                </c:pt>
                <c:pt idx="14">
                  <c:v>3.8</c:v>
                </c:pt>
                <c:pt idx="15">
                  <c:v>11.5</c:v>
                </c:pt>
                <c:pt idx="16">
                  <c:v>15.4</c:v>
                </c:pt>
                <c:pt idx="17">
                  <c:v>6.2</c:v>
                </c:pt>
              </c:numCache>
            </c:numRef>
          </c:val>
        </c:ser>
        <c:ser>
          <c:idx val="0"/>
          <c:order val="2"/>
          <c:tx>
            <c:strRef>
              <c:f>'front page'!$BQ$19</c:f>
              <c:strCache>
                <c:ptCount val="1"/>
                <c:pt idx="0">
                  <c:v>2017</c:v>
                </c:pt>
              </c:strCache>
            </c:strRef>
          </c:tx>
          <c:val>
            <c:numRef>
              <c:f>'front page'!$BQ$20:$BQ$37</c:f>
              <c:numCache>
                <c:formatCode>General</c:formatCode>
                <c:ptCount val="18"/>
                <c:pt idx="0">
                  <c:v>0.4</c:v>
                </c:pt>
                <c:pt idx="1">
                  <c:v>0.2</c:v>
                </c:pt>
                <c:pt idx="2">
                  <c:v>1.2</c:v>
                </c:pt>
                <c:pt idx="3">
                  <c:v>1.9</c:v>
                </c:pt>
                <c:pt idx="4">
                  <c:v>0.6</c:v>
                </c:pt>
                <c:pt idx="5">
                  <c:v>1.2</c:v>
                </c:pt>
                <c:pt idx="6">
                  <c:v>19.2</c:v>
                </c:pt>
                <c:pt idx="7">
                  <c:v>3.8</c:v>
                </c:pt>
                <c:pt idx="8">
                  <c:v>15.4</c:v>
                </c:pt>
                <c:pt idx="9">
                  <c:v>1</c:v>
                </c:pt>
                <c:pt idx="10">
                  <c:v>2.7</c:v>
                </c:pt>
                <c:pt idx="11">
                  <c:v>1.3</c:v>
                </c:pt>
                <c:pt idx="12">
                  <c:v>2.7</c:v>
                </c:pt>
                <c:pt idx="13">
                  <c:v>7.7</c:v>
                </c:pt>
                <c:pt idx="14">
                  <c:v>3.8</c:v>
                </c:pt>
                <c:pt idx="15">
                  <c:v>11.5</c:v>
                </c:pt>
                <c:pt idx="16">
                  <c:v>17.3</c:v>
                </c:pt>
                <c:pt idx="17">
                  <c:v>6.9</c:v>
                </c:pt>
              </c:numCache>
            </c:numRef>
          </c:val>
        </c:ser>
        <c:axId val="170528768"/>
        <c:axId val="170530304"/>
      </c:barChart>
      <c:catAx>
        <c:axId val="170528768"/>
        <c:scaling>
          <c:orientation val="minMax"/>
        </c:scaling>
        <c:axPos val="b"/>
        <c:tickLblPos val="nextTo"/>
        <c:txPr>
          <a:bodyPr/>
          <a:lstStyle/>
          <a:p>
            <a:pPr>
              <a:defRPr sz="900"/>
            </a:pPr>
            <a:endParaRPr lang="en-US"/>
          </a:p>
        </c:txPr>
        <c:crossAx val="170530304"/>
        <c:crosses val="autoZero"/>
        <c:auto val="1"/>
        <c:lblAlgn val="ctr"/>
        <c:lblOffset val="100"/>
      </c:catAx>
      <c:valAx>
        <c:axId val="170530304"/>
        <c:scaling>
          <c:orientation val="minMax"/>
        </c:scaling>
        <c:axPos val="l"/>
        <c:majorGridlines/>
        <c:title>
          <c:tx>
            <c:rich>
              <a:bodyPr rot="0" vert="horz"/>
              <a:lstStyle/>
              <a:p>
                <a:pPr>
                  <a:defRPr/>
                </a:pPr>
                <a:r>
                  <a:rPr lang="en-US"/>
                  <a:t>%</a:t>
                </a:r>
              </a:p>
            </c:rich>
          </c:tx>
          <c:layout/>
        </c:title>
        <c:numFmt formatCode="General" sourceLinked="1"/>
        <c:tickLblPos val="nextTo"/>
        <c:crossAx val="1705287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5.627009646302251</c:v>
                </c:pt>
                <c:pt idx="1">
                  <c:v>0.32154340836012862</c:v>
                </c:pt>
                <c:pt idx="2">
                  <c:v>4.662379421221865</c:v>
                </c:pt>
                <c:pt idx="3">
                  <c:v>15.594855305466238</c:v>
                </c:pt>
                <c:pt idx="4">
                  <c:v>3.697749196141479</c:v>
                </c:pt>
                <c:pt idx="5">
                  <c:v>3.8585209003215435</c:v>
                </c:pt>
                <c:pt idx="6">
                  <c:v>10.289389067524116</c:v>
                </c:pt>
                <c:pt idx="7">
                  <c:v>3.8585209003215435</c:v>
                </c:pt>
                <c:pt idx="8">
                  <c:v>8.6816720257234721</c:v>
                </c:pt>
                <c:pt idx="9">
                  <c:v>4.501607717041801</c:v>
                </c:pt>
                <c:pt idx="10">
                  <c:v>1.1254019292604502</c:v>
                </c:pt>
                <c:pt idx="11">
                  <c:v>3.054662379421222</c:v>
                </c:pt>
                <c:pt idx="12">
                  <c:v>13.02250803858521</c:v>
                </c:pt>
                <c:pt idx="13">
                  <c:v>7.395498392282958</c:v>
                </c:pt>
                <c:pt idx="14">
                  <c:v>0.16077170418006431</c:v>
                </c:pt>
                <c:pt idx="15">
                  <c:v>1.607717041800643</c:v>
                </c:pt>
                <c:pt idx="16">
                  <c:v>5.4662379421221861</c:v>
                </c:pt>
                <c:pt idx="17">
                  <c:v>7.07395498392283</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6.0655737704918034</c:v>
                </c:pt>
                <c:pt idx="1">
                  <c:v>0.32786885245901637</c:v>
                </c:pt>
                <c:pt idx="2">
                  <c:v>4.7540983606557381</c:v>
                </c:pt>
                <c:pt idx="3">
                  <c:v>15.081967213114755</c:v>
                </c:pt>
                <c:pt idx="4">
                  <c:v>3.442622950819672</c:v>
                </c:pt>
                <c:pt idx="5">
                  <c:v>3.6065573770491803</c:v>
                </c:pt>
                <c:pt idx="6">
                  <c:v>10.655737704918034</c:v>
                </c:pt>
                <c:pt idx="7">
                  <c:v>3.7704918032786887</c:v>
                </c:pt>
                <c:pt idx="8">
                  <c:v>8.5245901639344268</c:v>
                </c:pt>
                <c:pt idx="9">
                  <c:v>4.5901639344262293</c:v>
                </c:pt>
                <c:pt idx="10">
                  <c:v>1.1475409836065573</c:v>
                </c:pt>
                <c:pt idx="11">
                  <c:v>3.1147540983606556</c:v>
                </c:pt>
                <c:pt idx="12">
                  <c:v>13.934426229508198</c:v>
                </c:pt>
                <c:pt idx="13">
                  <c:v>6.8852459016393439</c:v>
                </c:pt>
                <c:pt idx="14">
                  <c:v>0.16393442622950818</c:v>
                </c:pt>
                <c:pt idx="15">
                  <c:v>1.8032786885245902</c:v>
                </c:pt>
                <c:pt idx="16">
                  <c:v>5.2459016393442619</c:v>
                </c:pt>
                <c:pt idx="17">
                  <c:v>6.8852459016393439</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6.2801932367149762</c:v>
                </c:pt>
                <c:pt idx="1">
                  <c:v>0.322061191626409</c:v>
                </c:pt>
                <c:pt idx="2">
                  <c:v>4.6698872785829311</c:v>
                </c:pt>
                <c:pt idx="3">
                  <c:v>14.814814814814815</c:v>
                </c:pt>
                <c:pt idx="4">
                  <c:v>3.5426731078904994</c:v>
                </c:pt>
                <c:pt idx="5">
                  <c:v>3.5426731078904994</c:v>
                </c:pt>
                <c:pt idx="6">
                  <c:v>9.9838969404186795</c:v>
                </c:pt>
                <c:pt idx="7">
                  <c:v>3.7037037037037037</c:v>
                </c:pt>
                <c:pt idx="8">
                  <c:v>9.1787439613526569</c:v>
                </c:pt>
                <c:pt idx="9">
                  <c:v>4.5088566827697258</c:v>
                </c:pt>
                <c:pt idx="10">
                  <c:v>0.96618357487922701</c:v>
                </c:pt>
                <c:pt idx="11">
                  <c:v>3.2206119162640903</c:v>
                </c:pt>
                <c:pt idx="12">
                  <c:v>14.492753623188406</c:v>
                </c:pt>
                <c:pt idx="13">
                  <c:v>6.7632850241545892</c:v>
                </c:pt>
                <c:pt idx="14">
                  <c:v>0.322061191626409</c:v>
                </c:pt>
                <c:pt idx="15">
                  <c:v>1.932367149758454</c:v>
                </c:pt>
                <c:pt idx="16">
                  <c:v>5.1529790660225441</c:v>
                </c:pt>
                <c:pt idx="17">
                  <c:v>6.6022544283413849</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6.4935064935064934</c:v>
                </c:pt>
                <c:pt idx="1">
                  <c:v>0.48701298701298701</c:v>
                </c:pt>
                <c:pt idx="2">
                  <c:v>4.7077922077922079</c:v>
                </c:pt>
                <c:pt idx="3">
                  <c:v>14.935064935064934</c:v>
                </c:pt>
                <c:pt idx="4">
                  <c:v>3.5714285714285716</c:v>
                </c:pt>
                <c:pt idx="5">
                  <c:v>3.0844155844155843</c:v>
                </c:pt>
                <c:pt idx="6">
                  <c:v>10.064935064935066</c:v>
                </c:pt>
                <c:pt idx="7">
                  <c:v>3.8961038961038961</c:v>
                </c:pt>
                <c:pt idx="8">
                  <c:v>8.9285714285714288</c:v>
                </c:pt>
                <c:pt idx="9">
                  <c:v>4.8701298701298699</c:v>
                </c:pt>
                <c:pt idx="10">
                  <c:v>1.1363636363636365</c:v>
                </c:pt>
                <c:pt idx="11">
                  <c:v>3.2467532467532467</c:v>
                </c:pt>
                <c:pt idx="12">
                  <c:v>14.61038961038961</c:v>
                </c:pt>
                <c:pt idx="13">
                  <c:v>5.8441558441558445</c:v>
                </c:pt>
                <c:pt idx="14">
                  <c:v>0.32467532467532467</c:v>
                </c:pt>
                <c:pt idx="15">
                  <c:v>1.948051948051948</c:v>
                </c:pt>
                <c:pt idx="16">
                  <c:v>5.3571428571428568</c:v>
                </c:pt>
                <c:pt idx="17">
                  <c:v>6.4935064935064934</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6.3191153238546605</c:v>
                </c:pt>
                <c:pt idx="1">
                  <c:v>0.31595576619273302</c:v>
                </c:pt>
                <c:pt idx="2">
                  <c:v>4.5813586097946288</c:v>
                </c:pt>
                <c:pt idx="3">
                  <c:v>14.375987361769353</c:v>
                </c:pt>
                <c:pt idx="4">
                  <c:v>3.3175355450236967</c:v>
                </c:pt>
                <c:pt idx="5">
                  <c:v>3.0015797788309637</c:v>
                </c:pt>
                <c:pt idx="6">
                  <c:v>9.3206951026856242</c:v>
                </c:pt>
                <c:pt idx="7">
                  <c:v>3.4755134281200633</c:v>
                </c:pt>
                <c:pt idx="8">
                  <c:v>9.1627172195892577</c:v>
                </c:pt>
                <c:pt idx="9">
                  <c:v>5.3712480252764614</c:v>
                </c:pt>
                <c:pt idx="10">
                  <c:v>1.1058451816745656</c:v>
                </c:pt>
                <c:pt idx="11">
                  <c:v>3.4755134281200633</c:v>
                </c:pt>
                <c:pt idx="12">
                  <c:v>15.165876777251185</c:v>
                </c:pt>
                <c:pt idx="13">
                  <c:v>6.477093206951027</c:v>
                </c:pt>
                <c:pt idx="14">
                  <c:v>0.47393364928909953</c:v>
                </c:pt>
                <c:pt idx="15">
                  <c:v>2.3696682464454977</c:v>
                </c:pt>
                <c:pt idx="16">
                  <c:v>5.3712480252764614</c:v>
                </c:pt>
                <c:pt idx="17">
                  <c:v>6.3191153238546605</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5.9766763848396502</c:v>
                </c:pt>
                <c:pt idx="1">
                  <c:v>0.29154518950437319</c:v>
                </c:pt>
                <c:pt idx="2">
                  <c:v>4.518950437317784</c:v>
                </c:pt>
                <c:pt idx="3">
                  <c:v>14.431486880466473</c:v>
                </c:pt>
                <c:pt idx="4">
                  <c:v>3.4985422740524781</c:v>
                </c:pt>
                <c:pt idx="5">
                  <c:v>3.0612244897959182</c:v>
                </c:pt>
                <c:pt idx="6">
                  <c:v>8.7463556851311957</c:v>
                </c:pt>
                <c:pt idx="7">
                  <c:v>3.3527696793002915</c:v>
                </c:pt>
                <c:pt idx="8">
                  <c:v>9.183673469387756</c:v>
                </c:pt>
                <c:pt idx="9">
                  <c:v>5.1020408163265305</c:v>
                </c:pt>
                <c:pt idx="10">
                  <c:v>1.0204081632653061</c:v>
                </c:pt>
                <c:pt idx="11">
                  <c:v>3.2069970845481048</c:v>
                </c:pt>
                <c:pt idx="12">
                  <c:v>15.306122448979592</c:v>
                </c:pt>
                <c:pt idx="13">
                  <c:v>7.8717201166180759</c:v>
                </c:pt>
                <c:pt idx="14">
                  <c:v>0.43731778425655976</c:v>
                </c:pt>
                <c:pt idx="15">
                  <c:v>2.3323615160349855</c:v>
                </c:pt>
                <c:pt idx="16">
                  <c:v>5.1020408163265305</c:v>
                </c:pt>
                <c:pt idx="17">
                  <c:v>6.5597667638483967</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5.5632823365785811</c:v>
                </c:pt>
                <c:pt idx="1">
                  <c:v>0.27816411682892905</c:v>
                </c:pt>
                <c:pt idx="2">
                  <c:v>4.5897079276773294</c:v>
                </c:pt>
                <c:pt idx="3">
                  <c:v>15.020862308762169</c:v>
                </c:pt>
                <c:pt idx="4">
                  <c:v>3.1988873435326841</c:v>
                </c:pt>
                <c:pt idx="5">
                  <c:v>3.0598052851182196</c:v>
                </c:pt>
                <c:pt idx="6">
                  <c:v>8.4840055632823361</c:v>
                </c:pt>
                <c:pt idx="7">
                  <c:v>3.6161335187760777</c:v>
                </c:pt>
                <c:pt idx="8">
                  <c:v>8.7621696801112652</c:v>
                </c:pt>
                <c:pt idx="9">
                  <c:v>5.4242002781641165</c:v>
                </c:pt>
                <c:pt idx="10">
                  <c:v>1.1126564673157162</c:v>
                </c:pt>
                <c:pt idx="11">
                  <c:v>3.0598052851182196</c:v>
                </c:pt>
                <c:pt idx="12">
                  <c:v>15.855354659248956</c:v>
                </c:pt>
                <c:pt idx="13">
                  <c:v>8.0667593880389425</c:v>
                </c:pt>
                <c:pt idx="14">
                  <c:v>0.41724617524339358</c:v>
                </c:pt>
                <c:pt idx="15">
                  <c:v>2.0862308762169679</c:v>
                </c:pt>
                <c:pt idx="16">
                  <c:v>4.8678720445062584</c:v>
                </c:pt>
                <c:pt idx="17">
                  <c:v>6.5368567454798328</c:v>
                </c:pt>
              </c:numCache>
            </c:numRef>
          </c:val>
        </c:ser>
        <c:ser>
          <c:idx val="0"/>
          <c:order val="7"/>
          <c:tx>
            <c:strRef>
              <c:f>'front page'!$J$10</c:f>
              <c:strCache>
                <c:ptCount val="1"/>
                <c:pt idx="0">
                  <c:v>2017</c:v>
                </c:pt>
              </c:strCache>
            </c:strRef>
          </c:tx>
          <c:val>
            <c:numRef>
              <c:f>'front page'!$J$11:$J$28</c:f>
              <c:numCache>
                <c:formatCode>General</c:formatCode>
                <c:ptCount val="18"/>
                <c:pt idx="0">
                  <c:v>5.3191489361702127</c:v>
                </c:pt>
                <c:pt idx="1">
                  <c:v>0.26595744680851063</c:v>
                </c:pt>
                <c:pt idx="2">
                  <c:v>4.3882978723404253</c:v>
                </c:pt>
                <c:pt idx="3">
                  <c:v>15.824468085106384</c:v>
                </c:pt>
                <c:pt idx="4">
                  <c:v>3.3244680851063828</c:v>
                </c:pt>
                <c:pt idx="5">
                  <c:v>2.7925531914893615</c:v>
                </c:pt>
                <c:pt idx="6">
                  <c:v>7.9787234042553195</c:v>
                </c:pt>
                <c:pt idx="7">
                  <c:v>3.5904255319148937</c:v>
                </c:pt>
                <c:pt idx="8">
                  <c:v>8.7765957446808507</c:v>
                </c:pt>
                <c:pt idx="9">
                  <c:v>5.3191489361702127</c:v>
                </c:pt>
                <c:pt idx="10">
                  <c:v>1.196808510638298</c:v>
                </c:pt>
                <c:pt idx="11">
                  <c:v>3.3244680851063828</c:v>
                </c:pt>
                <c:pt idx="12">
                  <c:v>16.75531914893617</c:v>
                </c:pt>
                <c:pt idx="13">
                  <c:v>7.8457446808510642</c:v>
                </c:pt>
                <c:pt idx="14">
                  <c:v>0.39893617021276595</c:v>
                </c:pt>
                <c:pt idx="15">
                  <c:v>1.8617021276595744</c:v>
                </c:pt>
                <c:pt idx="16">
                  <c:v>4.7872340425531918</c:v>
                </c:pt>
                <c:pt idx="17">
                  <c:v>6.25</c:v>
                </c:pt>
              </c:numCache>
            </c:numRef>
          </c:val>
        </c:ser>
        <c:ser>
          <c:idx val="1"/>
          <c:order val="8"/>
          <c:tx>
            <c:strRef>
              <c:f>'front page'!$K$10</c:f>
              <c:strCache>
                <c:ptCount val="1"/>
                <c:pt idx="0">
                  <c:v>2018</c:v>
                </c:pt>
              </c:strCache>
            </c:strRef>
          </c:tx>
          <c:val>
            <c:numRef>
              <c:f>'front page'!$K$11:$K$28</c:f>
              <c:numCache>
                <c:formatCode>General</c:formatCode>
                <c:ptCount val="18"/>
                <c:pt idx="0">
                  <c:v>5.5706521739130439</c:v>
                </c:pt>
                <c:pt idx="1">
                  <c:v>0.27173913043478259</c:v>
                </c:pt>
                <c:pt idx="2">
                  <c:v>4.4836956521739131</c:v>
                </c:pt>
                <c:pt idx="3">
                  <c:v>15.625</c:v>
                </c:pt>
                <c:pt idx="4">
                  <c:v>3.2608695652173911</c:v>
                </c:pt>
                <c:pt idx="5">
                  <c:v>2.9891304347826089</c:v>
                </c:pt>
                <c:pt idx="6">
                  <c:v>8.0163043478260878</c:v>
                </c:pt>
                <c:pt idx="7">
                  <c:v>3.2608695652173911</c:v>
                </c:pt>
                <c:pt idx="8">
                  <c:v>9.1032608695652169</c:v>
                </c:pt>
                <c:pt idx="9">
                  <c:v>5.7065217391304346</c:v>
                </c:pt>
                <c:pt idx="10">
                  <c:v>1.0869565217391304</c:v>
                </c:pt>
                <c:pt idx="11">
                  <c:v>3.3967391304347827</c:v>
                </c:pt>
                <c:pt idx="12">
                  <c:v>16.576086956521738</c:v>
                </c:pt>
                <c:pt idx="13">
                  <c:v>8.0163043478260878</c:v>
                </c:pt>
                <c:pt idx="14">
                  <c:v>0.40760869565217389</c:v>
                </c:pt>
                <c:pt idx="15">
                  <c:v>1.6304347826086956</c:v>
                </c:pt>
                <c:pt idx="16">
                  <c:v>4.2119565217391308</c:v>
                </c:pt>
                <c:pt idx="17">
                  <c:v>6.3858695652173916</c:v>
                </c:pt>
              </c:numCache>
            </c:numRef>
          </c:val>
        </c:ser>
        <c:axId val="170582016"/>
        <c:axId val="170583552"/>
      </c:barChart>
      <c:catAx>
        <c:axId val="170582016"/>
        <c:scaling>
          <c:orientation val="minMax"/>
        </c:scaling>
        <c:axPos val="b"/>
        <c:numFmt formatCode="General" sourceLinked="1"/>
        <c:tickLblPos val="nextTo"/>
        <c:txPr>
          <a:bodyPr/>
          <a:lstStyle/>
          <a:p>
            <a:pPr>
              <a:defRPr sz="800"/>
            </a:pPr>
            <a:endParaRPr lang="en-US"/>
          </a:p>
        </c:txPr>
        <c:crossAx val="170583552"/>
        <c:crosses val="autoZero"/>
        <c:auto val="1"/>
        <c:lblAlgn val="ctr"/>
        <c:lblOffset val="100"/>
      </c:catAx>
      <c:valAx>
        <c:axId val="170583552"/>
        <c:scaling>
          <c:orientation val="minMax"/>
        </c:scaling>
        <c:axPos val="l"/>
        <c:majorGridlines/>
        <c:title>
          <c:tx>
            <c:rich>
              <a:bodyPr rot="0" vert="horz"/>
              <a:lstStyle/>
              <a:p>
                <a:pPr>
                  <a:defRPr/>
                </a:pPr>
                <a:r>
                  <a:rPr lang="en-US"/>
                  <a:t>%</a:t>
                </a:r>
              </a:p>
            </c:rich>
          </c:tx>
          <c:layout/>
        </c:title>
        <c:numFmt formatCode="General" sourceLinked="1"/>
        <c:tickLblPos val="nextTo"/>
        <c:crossAx val="1705820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Folkestone &amp; Hythe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0.8</c:v>
                </c:pt>
                <c:pt idx="1">
                  <c:v>0.7</c:v>
                </c:pt>
                <c:pt idx="2">
                  <c:v>0.7</c:v>
                </c:pt>
              </c:numCache>
            </c:numRef>
          </c:val>
        </c:ser>
        <c:axId val="170520960"/>
        <c:axId val="170522496"/>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0520960"/>
        <c:axId val="170522496"/>
      </c:lineChart>
      <c:catAx>
        <c:axId val="170520960"/>
        <c:scaling>
          <c:orientation val="minMax"/>
        </c:scaling>
        <c:axPos val="b"/>
        <c:numFmt formatCode="General" sourceLinked="1"/>
        <c:tickLblPos val="nextTo"/>
        <c:txPr>
          <a:bodyPr/>
          <a:lstStyle/>
          <a:p>
            <a:pPr>
              <a:defRPr sz="800"/>
            </a:pPr>
            <a:endParaRPr lang="en-US"/>
          </a:p>
        </c:txPr>
        <c:crossAx val="170522496"/>
        <c:crosses val="autoZero"/>
        <c:auto val="1"/>
        <c:lblAlgn val="ctr"/>
        <c:lblOffset val="100"/>
      </c:catAx>
      <c:valAx>
        <c:axId val="170522496"/>
        <c:scaling>
          <c:orientation val="minMax"/>
        </c:scaling>
        <c:axPos val="l"/>
        <c:majorGridlines/>
        <c:title>
          <c:tx>
            <c:rich>
              <a:bodyPr rot="0" vert="horz"/>
              <a:lstStyle/>
              <a:p>
                <a:pPr>
                  <a:defRPr/>
                </a:pPr>
                <a:r>
                  <a:rPr lang="en-US"/>
                  <a:t>%</a:t>
                </a:r>
              </a:p>
            </c:rich>
          </c:tx>
          <c:layout/>
        </c:title>
        <c:numFmt formatCode="General" sourceLinked="1"/>
        <c:tickLblPos val="nextTo"/>
        <c:crossAx val="170520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Folkestone &amp; Hythe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5.627009646302251</c:v>
                </c:pt>
                <c:pt idx="2">
                  <c:v>6.0655737704918034</c:v>
                </c:pt>
                <c:pt idx="3">
                  <c:v>6.2801932367149762</c:v>
                </c:pt>
                <c:pt idx="4">
                  <c:v>6.4935064935064934</c:v>
                </c:pt>
                <c:pt idx="5">
                  <c:v>6.3191153238546605</c:v>
                </c:pt>
                <c:pt idx="6">
                  <c:v>5.9766763848396502</c:v>
                </c:pt>
                <c:pt idx="7">
                  <c:v>5.5632823365785811</c:v>
                </c:pt>
                <c:pt idx="8">
                  <c:v>5.3191489361702127</c:v>
                </c:pt>
                <c:pt idx="9">
                  <c:v>5.5706521739130439</c:v>
                </c:pt>
              </c:numCache>
            </c:numRef>
          </c:val>
        </c:ser>
        <c:axId val="170636032"/>
        <c:axId val="17063756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0636032"/>
        <c:axId val="170637568"/>
      </c:lineChart>
      <c:catAx>
        <c:axId val="170636032"/>
        <c:scaling>
          <c:orientation val="minMax"/>
        </c:scaling>
        <c:axPos val="b"/>
        <c:numFmt formatCode="General" sourceLinked="1"/>
        <c:tickLblPos val="nextTo"/>
        <c:txPr>
          <a:bodyPr/>
          <a:lstStyle/>
          <a:p>
            <a:pPr>
              <a:defRPr sz="800"/>
            </a:pPr>
            <a:endParaRPr lang="en-US"/>
          </a:p>
        </c:txPr>
        <c:crossAx val="170637568"/>
        <c:crosses val="autoZero"/>
        <c:auto val="1"/>
        <c:lblAlgn val="ctr"/>
        <c:lblOffset val="100"/>
      </c:catAx>
      <c:valAx>
        <c:axId val="170637568"/>
        <c:scaling>
          <c:orientation val="minMax"/>
        </c:scaling>
        <c:axPos val="l"/>
        <c:majorGridlines/>
        <c:title>
          <c:tx>
            <c:rich>
              <a:bodyPr rot="0" vert="horz"/>
              <a:lstStyle/>
              <a:p>
                <a:pPr>
                  <a:defRPr/>
                </a:pPr>
                <a:r>
                  <a:rPr lang="en-US"/>
                  <a:t>%</a:t>
                </a:r>
              </a:p>
            </c:rich>
          </c:tx>
          <c:layout/>
        </c:title>
        <c:numFmt formatCode="General" sourceLinked="1"/>
        <c:tickLblPos val="nextTo"/>
        <c:crossAx val="170636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18</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2018-11-15T14:51:00Z</dcterms:created>
  <dcterms:modified xsi:type="dcterms:W3CDTF">2018-11-15T15:07:00Z</dcterms:modified>
</cp:coreProperties>
</file>