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B5E1D">
      <w:r w:rsidRPr="004B5E1D">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2B3CB9" w:rsidRDefault="002B3CB9" w:rsidP="004D3814">
                  <w:pPr>
                    <w:jc w:val="right"/>
                    <w:rPr>
                      <w:rFonts w:ascii="Segoe UI" w:hAnsi="Segoe UI" w:cs="Segoe UI"/>
                      <w:b/>
                      <w:sz w:val="56"/>
                      <w:szCs w:val="72"/>
                      <w:u w:val="single"/>
                    </w:rPr>
                  </w:pPr>
                  <w:r w:rsidRPr="002B3CB9">
                    <w:rPr>
                      <w:rFonts w:ascii="Segoe UI" w:hAnsi="Segoe UI" w:cs="Segoe UI"/>
                      <w:b/>
                      <w:sz w:val="56"/>
                      <w:szCs w:val="72"/>
                      <w:u w:val="single"/>
                    </w:rPr>
                    <w:t xml:space="preserve">County of Herefordshire </w:t>
                  </w:r>
                  <w:r w:rsidR="009579D3" w:rsidRPr="002B3CB9">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B5E1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B5E1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B5E1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B5E1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B5E1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B3CB9">
      <w:pPr>
        <w:rPr>
          <w:rFonts w:ascii="Segoe UI" w:hAnsi="Segoe UI" w:cs="Segoe UI"/>
        </w:rPr>
      </w:pPr>
      <w:r>
        <w:rPr>
          <w:rFonts w:ascii="Segoe UI" w:hAnsi="Segoe UI" w:cs="Segoe UI"/>
        </w:rPr>
        <w:t>Herefordshire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19</w:t>
      </w:r>
      <w:r w:rsidR="005D1AC4">
        <w:rPr>
          <w:rFonts w:ascii="Segoe UI" w:hAnsi="Segoe UI" w:cs="Segoe UI"/>
        </w:rPr>
        <w:t>0</w:t>
      </w:r>
      <w:r w:rsidR="00D625BB">
        <w:rPr>
          <w:rFonts w:ascii="Segoe UI" w:hAnsi="Segoe UI" w:cs="Segoe UI"/>
        </w:rPr>
        <w:t xml:space="preserve">, made up of </w:t>
      </w:r>
      <w:r>
        <w:rPr>
          <w:rFonts w:ascii="Segoe UI" w:hAnsi="Segoe UI" w:cs="Segoe UI"/>
        </w:rPr>
        <w:t>18</w:t>
      </w:r>
      <w:r w:rsidR="00975DC7">
        <w:rPr>
          <w:rFonts w:ascii="Segoe UI" w:hAnsi="Segoe UI" w:cs="Segoe UI"/>
        </w:rPr>
        <w:t>0</w:t>
      </w:r>
      <w:r w:rsidR="00FE2F24">
        <w:rPr>
          <w:rFonts w:ascii="Segoe UI" w:hAnsi="Segoe UI" w:cs="Segoe UI"/>
        </w:rPr>
        <w:t xml:space="preserve"> private enterprise builds</w:t>
      </w:r>
      <w:r>
        <w:rPr>
          <w:rFonts w:ascii="Segoe UI" w:hAnsi="Segoe UI" w:cs="Segoe UI"/>
        </w:rPr>
        <w:t xml:space="preserve"> and 1</w:t>
      </w:r>
      <w:r w:rsidR="002514E2">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84,290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77DA3">
        <w:rPr>
          <w:rFonts w:ascii="Segoe UI" w:hAnsi="Segoe UI" w:cs="Segoe UI"/>
        </w:rPr>
        <w:t>Herefordshire</w:t>
      </w:r>
      <w:r w:rsidR="002651E1">
        <w:rPr>
          <w:rFonts w:ascii="Segoe UI" w:hAnsi="Segoe UI" w:cs="Segoe UI"/>
        </w:rPr>
        <w:t xml:space="preserve"> </w:t>
      </w:r>
      <w:r w:rsidR="00465750">
        <w:rPr>
          <w:rFonts w:ascii="Segoe UI" w:hAnsi="Segoe UI" w:cs="Segoe UI"/>
        </w:rPr>
        <w:t xml:space="preserve">had net additions of </w:t>
      </w:r>
      <w:r w:rsidR="00E77DA3">
        <w:rPr>
          <w:rFonts w:ascii="Segoe UI" w:hAnsi="Segoe UI" w:cs="Segoe UI"/>
        </w:rPr>
        <w:t>26</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Pr>
          <w:rFonts w:ascii="Segoe UI" w:hAnsi="Segoe UI" w:cs="Segoe UI"/>
        </w:rPr>
        <w:t>23</w:t>
      </w:r>
      <w:r w:rsidR="00E77DA3">
        <w:rPr>
          <w:rFonts w:ascii="Segoe UI" w:hAnsi="Segoe UI" w:cs="Segoe UI"/>
        </w:rPr>
        <w:t>4</w:t>
      </w:r>
      <w:r w:rsidR="00465750">
        <w:rPr>
          <w:rFonts w:ascii="Segoe UI" w:hAnsi="Segoe UI" w:cs="Segoe UI"/>
        </w:rPr>
        <w:t xml:space="preserve"> new builds, </w:t>
      </w:r>
      <w:r w:rsidR="00E77DA3">
        <w:rPr>
          <w:rFonts w:ascii="Segoe UI" w:hAnsi="Segoe UI" w:cs="Segoe UI"/>
        </w:rPr>
        <w:t>3</w:t>
      </w:r>
      <w:r w:rsidR="00465750">
        <w:rPr>
          <w:rFonts w:ascii="Segoe UI" w:hAnsi="Segoe UI" w:cs="Segoe UI"/>
        </w:rPr>
        <w:t xml:space="preserve"> conversations, </w:t>
      </w:r>
      <w:r w:rsidR="00E77DA3">
        <w:rPr>
          <w:rFonts w:ascii="Segoe UI" w:hAnsi="Segoe UI" w:cs="Segoe UI"/>
        </w:rPr>
        <w:t>36</w:t>
      </w:r>
      <w:r w:rsidR="00465750">
        <w:rPr>
          <w:rFonts w:ascii="Segoe UI" w:hAnsi="Segoe UI" w:cs="Segoe UI"/>
        </w:rPr>
        <w:t xml:space="preserve"> change of use, and </w:t>
      </w:r>
      <w:r w:rsidR="00E77DA3">
        <w:rPr>
          <w:rFonts w:ascii="Segoe UI" w:hAnsi="Segoe UI" w:cs="Segoe UI"/>
        </w:rPr>
        <w:t>13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77DA3">
        <w:rPr>
          <w:rFonts w:ascii="Segoe UI" w:hAnsi="Segoe UI" w:cs="Segoe UI"/>
        </w:rPr>
        <w:t>Herefordshire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0.4</w:t>
      </w:r>
      <w:r>
        <w:rPr>
          <w:rFonts w:ascii="Segoe UI" w:hAnsi="Segoe UI" w:cs="Segoe UI"/>
        </w:rPr>
        <w:t>, the number of households accommodated in temporary accommodat</w:t>
      </w:r>
      <w:r w:rsidR="00E77DA3">
        <w:rPr>
          <w:rFonts w:ascii="Segoe UI" w:hAnsi="Segoe UI" w:cs="Segoe UI"/>
        </w:rPr>
        <w:t>ion per 1,000 households was 0.5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B39D0"/>
    <w:rsid w:val="002B3CB9"/>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B5E1D"/>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77DA3"/>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2.7757663528843839</c:v>
                </c:pt>
                <c:pt idx="3">
                  <c:v>2.046713219359499</c:v>
                </c:pt>
                <c:pt idx="4">
                  <c:v>3.2366339007432265</c:v>
                </c:pt>
                <c:pt idx="5">
                  <c:v>4.1706387035271693</c:v>
                </c:pt>
                <c:pt idx="6">
                  <c:v>4.2709692727488431</c:v>
                </c:pt>
                <c:pt idx="7">
                  <c:v>4.6268833788112467</c:v>
                </c:pt>
              </c:numCache>
            </c:numRef>
          </c:val>
        </c:ser>
        <c:marker val="1"/>
        <c:axId val="159758976"/>
        <c:axId val="159809920"/>
      </c:lineChart>
      <c:catAx>
        <c:axId val="159758976"/>
        <c:scaling>
          <c:orientation val="minMax"/>
        </c:scaling>
        <c:axPos val="b"/>
        <c:tickLblPos val="nextTo"/>
        <c:txPr>
          <a:bodyPr/>
          <a:lstStyle/>
          <a:p>
            <a:pPr>
              <a:defRPr sz="1000"/>
            </a:pPr>
            <a:endParaRPr lang="en-US"/>
          </a:p>
        </c:txPr>
        <c:crossAx val="159809920"/>
        <c:crosses val="autoZero"/>
        <c:auto val="1"/>
        <c:lblAlgn val="ctr"/>
        <c:lblOffset val="100"/>
      </c:catAx>
      <c:valAx>
        <c:axId val="159809920"/>
        <c:scaling>
          <c:orientation val="minMax"/>
        </c:scaling>
        <c:axPos val="l"/>
        <c:majorGridlines/>
        <c:numFmt formatCode="General" sourceLinked="1"/>
        <c:tickLblPos val="nextTo"/>
        <c:crossAx val="15975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0.12039489525644112</c:v>
                </c:pt>
                <c:pt idx="2">
                  <c:v>0.11987532965715655</c:v>
                </c:pt>
                <c:pt idx="3">
                  <c:v>0.11916110581506197</c:v>
                </c:pt>
                <c:pt idx="4">
                  <c:v>3.559141060624036E-2</c:v>
                </c:pt>
              </c:numCache>
            </c:numRef>
          </c:val>
        </c:ser>
        <c:marker val="1"/>
        <c:axId val="160705536"/>
        <c:axId val="160715520"/>
      </c:lineChart>
      <c:catAx>
        <c:axId val="160705536"/>
        <c:scaling>
          <c:orientation val="minMax"/>
        </c:scaling>
        <c:axPos val="b"/>
        <c:tickLblPos val="nextTo"/>
        <c:crossAx val="160715520"/>
        <c:crosses val="autoZero"/>
        <c:auto val="1"/>
        <c:lblAlgn val="ctr"/>
        <c:lblOffset val="100"/>
      </c:catAx>
      <c:valAx>
        <c:axId val="160715520"/>
        <c:scaling>
          <c:orientation val="minMax"/>
        </c:scaling>
        <c:axPos val="l"/>
        <c:majorGridlines/>
        <c:numFmt formatCode="General" sourceLinked="1"/>
        <c:tickLblPos val="nextTo"/>
        <c:crossAx val="160705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0.3620564808110065</c:v>
                </c:pt>
                <c:pt idx="1">
                  <c:v>0.24078979051288224</c:v>
                </c:pt>
                <c:pt idx="2">
                  <c:v>0.47950131862862622</c:v>
                </c:pt>
                <c:pt idx="3">
                  <c:v>0.71496663489037171</c:v>
                </c:pt>
                <c:pt idx="4">
                  <c:v>0.42709692727488435</c:v>
                </c:pt>
              </c:numCache>
            </c:numRef>
          </c:val>
        </c:ser>
        <c:marker val="1"/>
        <c:axId val="160766592"/>
        <c:axId val="160780672"/>
      </c:lineChart>
      <c:catAx>
        <c:axId val="160766592"/>
        <c:scaling>
          <c:orientation val="minMax"/>
        </c:scaling>
        <c:axPos val="b"/>
        <c:tickLblPos val="nextTo"/>
        <c:crossAx val="160780672"/>
        <c:crosses val="autoZero"/>
        <c:auto val="1"/>
        <c:lblAlgn val="ctr"/>
        <c:lblOffset val="100"/>
      </c:catAx>
      <c:valAx>
        <c:axId val="160780672"/>
        <c:scaling>
          <c:orientation val="minMax"/>
        </c:scaling>
        <c:axPos val="l"/>
        <c:majorGridlines/>
        <c:numFmt formatCode="General" sourceLinked="1"/>
        <c:tickLblPos val="nextTo"/>
        <c:crossAx val="16076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0798976"/>
        <c:axId val="160829440"/>
      </c:lineChart>
      <c:catAx>
        <c:axId val="160798976"/>
        <c:scaling>
          <c:orientation val="minMax"/>
        </c:scaling>
        <c:axPos val="b"/>
        <c:tickLblPos val="nextTo"/>
        <c:crossAx val="160829440"/>
        <c:crosses val="autoZero"/>
        <c:auto val="1"/>
        <c:lblAlgn val="ctr"/>
        <c:lblOffset val="100"/>
      </c:catAx>
      <c:valAx>
        <c:axId val="160829440"/>
        <c:scaling>
          <c:orientation val="minMax"/>
        </c:scaling>
        <c:axPos val="l"/>
        <c:majorGridlines/>
        <c:numFmt formatCode="General" sourceLinked="1"/>
        <c:tickLblPos val="nextTo"/>
        <c:crossAx val="16079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0.12068549360366884</c:v>
                </c:pt>
                <c:pt idx="1">
                  <c:v>0.36118468576932339</c:v>
                </c:pt>
                <c:pt idx="2">
                  <c:v>0.23975065931431311</c:v>
                </c:pt>
                <c:pt idx="3">
                  <c:v>0.23832221163012393</c:v>
                </c:pt>
                <c:pt idx="4">
                  <c:v>0.15422944596037488</c:v>
                </c:pt>
              </c:numCache>
            </c:numRef>
          </c:val>
        </c:ser>
        <c:marker val="1"/>
        <c:axId val="160839552"/>
        <c:axId val="160841088"/>
      </c:lineChart>
      <c:catAx>
        <c:axId val="160839552"/>
        <c:scaling>
          <c:orientation val="minMax"/>
        </c:scaling>
        <c:axPos val="b"/>
        <c:tickLblPos val="nextTo"/>
        <c:crossAx val="160841088"/>
        <c:crosses val="autoZero"/>
        <c:auto val="1"/>
        <c:lblAlgn val="ctr"/>
        <c:lblOffset val="100"/>
      </c:catAx>
      <c:valAx>
        <c:axId val="160841088"/>
        <c:scaling>
          <c:orientation val="minMax"/>
        </c:scaling>
        <c:axPos val="l"/>
        <c:majorGridlines/>
        <c:numFmt formatCode="General" sourceLinked="1"/>
        <c:tickLblPos val="nextTo"/>
        <c:crossAx val="160839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2.4137098720733765</c:v>
                </c:pt>
                <c:pt idx="1">
                  <c:v>4.3342162292318811</c:v>
                </c:pt>
                <c:pt idx="2">
                  <c:v>5.9937664828578274</c:v>
                </c:pt>
                <c:pt idx="3">
                  <c:v>4.4089609151572926</c:v>
                </c:pt>
                <c:pt idx="4">
                  <c:v>3.0845889192074978</c:v>
                </c:pt>
              </c:numCache>
            </c:numRef>
          </c:val>
        </c:ser>
        <c:marker val="1"/>
        <c:axId val="160888320"/>
        <c:axId val="160889856"/>
      </c:lineChart>
      <c:catAx>
        <c:axId val="160888320"/>
        <c:scaling>
          <c:orientation val="minMax"/>
        </c:scaling>
        <c:axPos val="b"/>
        <c:tickLblPos val="nextTo"/>
        <c:crossAx val="160889856"/>
        <c:crosses val="autoZero"/>
        <c:auto val="1"/>
        <c:lblAlgn val="ctr"/>
        <c:lblOffset val="100"/>
      </c:catAx>
      <c:valAx>
        <c:axId val="160889856"/>
        <c:scaling>
          <c:orientation val="minMax"/>
        </c:scaling>
        <c:axPos val="l"/>
        <c:majorGridlines/>
        <c:numFmt formatCode="General" sourceLinked="1"/>
        <c:tickLblPos val="nextTo"/>
        <c:crossAx val="160888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Herefordshire, County of</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8.57</c:v>
                </c:pt>
                <c:pt idx="1">
                  <c:v>8.31</c:v>
                </c:pt>
                <c:pt idx="2">
                  <c:v>8.31</c:v>
                </c:pt>
                <c:pt idx="3">
                  <c:v>8.82</c:v>
                </c:pt>
                <c:pt idx="4">
                  <c:v>8.61</c:v>
                </c:pt>
              </c:numCache>
            </c:numRef>
          </c:val>
        </c:ser>
        <c:marker val="1"/>
        <c:axId val="160927744"/>
        <c:axId val="160929280"/>
      </c:lineChart>
      <c:catAx>
        <c:axId val="160927744"/>
        <c:scaling>
          <c:orientation val="minMax"/>
        </c:scaling>
        <c:axPos val="b"/>
        <c:numFmt formatCode="General" sourceLinked="1"/>
        <c:tickLblPos val="nextTo"/>
        <c:crossAx val="160929280"/>
        <c:crosses val="autoZero"/>
        <c:auto val="1"/>
        <c:lblAlgn val="ctr"/>
        <c:lblOffset val="100"/>
      </c:catAx>
      <c:valAx>
        <c:axId val="160929280"/>
        <c:scaling>
          <c:orientation val="minMax"/>
        </c:scaling>
        <c:axPos val="l"/>
        <c:majorGridlines/>
        <c:numFmt formatCode="General" sourceLinked="1"/>
        <c:tickLblPos val="nextTo"/>
        <c:crossAx val="16092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Herefordshire, County of</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9.2001595691632598</c:v>
                </c:pt>
                <c:pt idx="1">
                  <c:v>8.8018854311961903</c:v>
                </c:pt>
                <c:pt idx="2">
                  <c:v>9.08</c:v>
                </c:pt>
                <c:pt idx="3">
                  <c:v>9.6327656740557508</c:v>
                </c:pt>
                <c:pt idx="4">
                  <c:v>8.91</c:v>
                </c:pt>
              </c:numCache>
            </c:numRef>
          </c:val>
        </c:ser>
        <c:marker val="1"/>
        <c:axId val="160955776"/>
        <c:axId val="161031296"/>
      </c:lineChart>
      <c:catAx>
        <c:axId val="160955776"/>
        <c:scaling>
          <c:orientation val="minMax"/>
        </c:scaling>
        <c:axPos val="b"/>
        <c:numFmt formatCode="General" sourceLinked="1"/>
        <c:tickLblPos val="nextTo"/>
        <c:crossAx val="161031296"/>
        <c:crosses val="autoZero"/>
        <c:auto val="1"/>
        <c:lblAlgn val="ctr"/>
        <c:lblOffset val="100"/>
      </c:catAx>
      <c:valAx>
        <c:axId val="161031296"/>
        <c:scaling>
          <c:orientation val="minMax"/>
        </c:scaling>
        <c:axPos val="l"/>
        <c:majorGridlines/>
        <c:numFmt formatCode="General" sourceLinked="1"/>
        <c:tickLblPos val="nextTo"/>
        <c:crossAx val="160955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Herefordshire, County of</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72.510000000000005</c:v>
                </c:pt>
                <c:pt idx="1">
                  <c:v>72.78</c:v>
                </c:pt>
                <c:pt idx="2">
                  <c:v>77.13</c:v>
                </c:pt>
                <c:pt idx="3">
                  <c:v>82.65</c:v>
                </c:pt>
                <c:pt idx="4">
                  <c:v>85.89</c:v>
                </c:pt>
                <c:pt idx="5">
                  <c:v>89.85</c:v>
                </c:pt>
                <c:pt idx="6">
                  <c:v>91.826846726009023</c:v>
                </c:pt>
                <c:pt idx="7">
                  <c:v>90.832276092667783</c:v>
                </c:pt>
              </c:numCache>
            </c:numRef>
          </c:val>
        </c:ser>
        <c:marker val="1"/>
        <c:axId val="160956416"/>
        <c:axId val="160957952"/>
      </c:lineChart>
      <c:catAx>
        <c:axId val="160956416"/>
        <c:scaling>
          <c:orientation val="minMax"/>
        </c:scaling>
        <c:axPos val="b"/>
        <c:numFmt formatCode="General" sourceLinked="1"/>
        <c:tickLblPos val="nextTo"/>
        <c:crossAx val="160957952"/>
        <c:crosses val="autoZero"/>
        <c:auto val="1"/>
        <c:lblAlgn val="ctr"/>
        <c:lblOffset val="100"/>
      </c:catAx>
      <c:valAx>
        <c:axId val="16095795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095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1.9102564102564104</c:v>
                </c:pt>
                <c:pt idx="1">
                  <c:v>3.35</c:v>
                </c:pt>
                <c:pt idx="2">
                  <c:v>3.32</c:v>
                </c:pt>
                <c:pt idx="3">
                  <c:v>2.7430203284109269</c:v>
                </c:pt>
                <c:pt idx="4">
                  <c:v>1.44</c:v>
                </c:pt>
                <c:pt idx="5">
                  <c:v>0.5</c:v>
                </c:pt>
                <c:pt idx="6">
                  <c:v>0.35</c:v>
                </c:pt>
              </c:numCache>
            </c:numRef>
          </c:val>
        </c:ser>
        <c:marker val="1"/>
        <c:axId val="160997376"/>
        <c:axId val="160998912"/>
      </c:lineChart>
      <c:catAx>
        <c:axId val="160997376"/>
        <c:scaling>
          <c:orientation val="minMax"/>
        </c:scaling>
        <c:axPos val="b"/>
        <c:tickLblPos val="nextTo"/>
        <c:crossAx val="160998912"/>
        <c:crosses val="autoZero"/>
        <c:auto val="1"/>
        <c:lblAlgn val="ctr"/>
        <c:lblOffset val="100"/>
      </c:catAx>
      <c:valAx>
        <c:axId val="160998912"/>
        <c:scaling>
          <c:orientation val="minMax"/>
        </c:scaling>
        <c:axPos val="l"/>
        <c:majorGridlines/>
        <c:numFmt formatCode="General" sourceLinked="1"/>
        <c:tickLblPos val="nextTo"/>
        <c:crossAx val="160997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0.91025641025641024</c:v>
                </c:pt>
                <c:pt idx="1">
                  <c:v>0.95</c:v>
                </c:pt>
                <c:pt idx="2">
                  <c:v>1</c:v>
                </c:pt>
                <c:pt idx="3">
                  <c:v>0.90181490249126373</c:v>
                </c:pt>
                <c:pt idx="4">
                  <c:v>0.66</c:v>
                </c:pt>
                <c:pt idx="5">
                  <c:v>0.42</c:v>
                </c:pt>
                <c:pt idx="6">
                  <c:v>0.5</c:v>
                </c:pt>
              </c:numCache>
            </c:numRef>
          </c:val>
        </c:ser>
        <c:marker val="1"/>
        <c:axId val="161090944"/>
        <c:axId val="161109120"/>
      </c:lineChart>
      <c:catAx>
        <c:axId val="161090944"/>
        <c:scaling>
          <c:orientation val="minMax"/>
        </c:scaling>
        <c:axPos val="b"/>
        <c:tickLblPos val="nextTo"/>
        <c:crossAx val="161109120"/>
        <c:crosses val="autoZero"/>
        <c:auto val="1"/>
        <c:lblAlgn val="ctr"/>
        <c:lblOffset val="100"/>
      </c:catAx>
      <c:valAx>
        <c:axId val="161109120"/>
        <c:scaling>
          <c:orientation val="minMax"/>
        </c:scaling>
        <c:axPos val="l"/>
        <c:majorGridlines/>
        <c:numFmt formatCode="General" sourceLinked="1"/>
        <c:tickLblPos val="nextTo"/>
        <c:crossAx val="161090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0.36205648081100655</c:v>
                </c:pt>
                <c:pt idx="3">
                  <c:v>0.48157958102576454</c:v>
                </c:pt>
                <c:pt idx="4">
                  <c:v>0.47950131862862622</c:v>
                </c:pt>
                <c:pt idx="5">
                  <c:v>3.3365109628217353</c:v>
                </c:pt>
                <c:pt idx="6">
                  <c:v>0</c:v>
                </c:pt>
                <c:pt idx="7">
                  <c:v>0.47455214141653806</c:v>
                </c:pt>
              </c:numCache>
            </c:numRef>
          </c:val>
        </c:ser>
        <c:marker val="1"/>
        <c:axId val="124652160"/>
        <c:axId val="124662144"/>
      </c:lineChart>
      <c:catAx>
        <c:axId val="124652160"/>
        <c:scaling>
          <c:orientation val="minMax"/>
        </c:scaling>
        <c:axPos val="b"/>
        <c:tickLblPos val="nextTo"/>
        <c:crossAx val="124662144"/>
        <c:crosses val="autoZero"/>
        <c:auto val="1"/>
        <c:lblAlgn val="ctr"/>
        <c:lblOffset val="100"/>
      </c:catAx>
      <c:valAx>
        <c:axId val="124662144"/>
        <c:scaling>
          <c:orientation val="minMax"/>
        </c:scaling>
        <c:axPos val="l"/>
        <c:majorGridlines/>
        <c:numFmt formatCode="General" sourceLinked="1"/>
        <c:tickLblPos val="nextTo"/>
        <c:crossAx val="124652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0</c:v>
                </c:pt>
              </c:numCache>
            </c:numRef>
          </c:val>
        </c:ser>
        <c:marker val="1"/>
        <c:axId val="124692736"/>
        <c:axId val="124710912"/>
      </c:lineChart>
      <c:catAx>
        <c:axId val="124692736"/>
        <c:scaling>
          <c:orientation val="minMax"/>
        </c:scaling>
        <c:axPos val="b"/>
        <c:tickLblPos val="nextTo"/>
        <c:crossAx val="124710912"/>
        <c:crosses val="autoZero"/>
        <c:auto val="1"/>
        <c:lblAlgn val="ctr"/>
        <c:lblOffset val="100"/>
      </c:catAx>
      <c:valAx>
        <c:axId val="124710912"/>
        <c:scaling>
          <c:orientation val="minMax"/>
        </c:scaling>
        <c:axPos val="l"/>
        <c:majorGridlines/>
        <c:numFmt formatCode="General" sourceLinked="1"/>
        <c:tickLblPos val="nextTo"/>
        <c:crossAx val="12469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3.1378228336953895</c:v>
                </c:pt>
                <c:pt idx="3">
                  <c:v>2.5282928003852638</c:v>
                </c:pt>
                <c:pt idx="4">
                  <c:v>3.7161352193718535</c:v>
                </c:pt>
                <c:pt idx="5">
                  <c:v>7.5071496663489015</c:v>
                </c:pt>
                <c:pt idx="6">
                  <c:v>4.2709692727488431</c:v>
                </c:pt>
                <c:pt idx="7">
                  <c:v>5.1014355202277839</c:v>
                </c:pt>
              </c:numCache>
            </c:numRef>
          </c:val>
        </c:ser>
        <c:marker val="1"/>
        <c:axId val="160466816"/>
        <c:axId val="160468352"/>
      </c:lineChart>
      <c:catAx>
        <c:axId val="160466816"/>
        <c:scaling>
          <c:orientation val="minMax"/>
        </c:scaling>
        <c:axPos val="b"/>
        <c:tickLblPos val="nextTo"/>
        <c:crossAx val="160468352"/>
        <c:crosses val="autoZero"/>
        <c:auto val="1"/>
        <c:lblAlgn val="ctr"/>
        <c:lblOffset val="100"/>
      </c:catAx>
      <c:valAx>
        <c:axId val="160468352"/>
        <c:scaling>
          <c:orientation val="minMax"/>
        </c:scaling>
        <c:axPos val="l"/>
        <c:majorGridlines/>
        <c:numFmt formatCode="General" sourceLinked="1"/>
        <c:tickLblPos val="nextTo"/>
        <c:crossAx val="160466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2.7757663528843839</c:v>
                </c:pt>
                <c:pt idx="3">
                  <c:v>1.6855285335901757</c:v>
                </c:pt>
                <c:pt idx="4">
                  <c:v>2.6372572524574447</c:v>
                </c:pt>
                <c:pt idx="5">
                  <c:v>3.2173498570066736</c:v>
                </c:pt>
                <c:pt idx="6">
                  <c:v>2.8473128484992292</c:v>
                </c:pt>
                <c:pt idx="7">
                  <c:v>2.1354846363744211</c:v>
                </c:pt>
              </c:numCache>
            </c:numRef>
          </c:val>
        </c:ser>
        <c:marker val="1"/>
        <c:axId val="160503296"/>
        <c:axId val="160504832"/>
      </c:lineChart>
      <c:catAx>
        <c:axId val="160503296"/>
        <c:scaling>
          <c:orientation val="minMax"/>
        </c:scaling>
        <c:axPos val="b"/>
        <c:tickLblPos val="nextTo"/>
        <c:crossAx val="160504832"/>
        <c:crosses val="autoZero"/>
        <c:auto val="1"/>
        <c:lblAlgn val="ctr"/>
        <c:lblOffset val="100"/>
      </c:catAx>
      <c:valAx>
        <c:axId val="160504832"/>
        <c:scaling>
          <c:orientation val="minMax"/>
        </c:scaling>
        <c:axPos val="l"/>
        <c:majorGridlines/>
        <c:numFmt formatCode="General" sourceLinked="1"/>
        <c:tickLblPos val="nextTo"/>
        <c:crossAx val="160503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0.36205648081100655</c:v>
                </c:pt>
                <c:pt idx="3">
                  <c:v>0.24078979051288227</c:v>
                </c:pt>
                <c:pt idx="4">
                  <c:v>0.83912730760009602</c:v>
                </c:pt>
                <c:pt idx="5">
                  <c:v>0.47664442326024792</c:v>
                </c:pt>
                <c:pt idx="6">
                  <c:v>0.11863803535413453</c:v>
                </c:pt>
                <c:pt idx="7">
                  <c:v>0.11863803535413453</c:v>
                </c:pt>
              </c:numCache>
            </c:numRef>
          </c:val>
        </c:ser>
        <c:marker val="1"/>
        <c:axId val="160547968"/>
        <c:axId val="160549504"/>
      </c:lineChart>
      <c:catAx>
        <c:axId val="160547968"/>
        <c:scaling>
          <c:orientation val="minMax"/>
        </c:scaling>
        <c:axPos val="b"/>
        <c:tickLblPos val="nextTo"/>
        <c:crossAx val="160549504"/>
        <c:crosses val="autoZero"/>
        <c:auto val="1"/>
        <c:lblAlgn val="ctr"/>
        <c:lblOffset val="100"/>
      </c:catAx>
      <c:valAx>
        <c:axId val="160549504"/>
        <c:scaling>
          <c:orientation val="minMax"/>
        </c:scaling>
        <c:axPos val="l"/>
        <c:majorGridlines/>
        <c:numFmt formatCode="General" sourceLinked="1"/>
        <c:tickLblPos val="nextTo"/>
        <c:crossAx val="160547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c:v>
                </c:pt>
                <c:pt idx="5">
                  <c:v>0</c:v>
                </c:pt>
                <c:pt idx="6">
                  <c:v>0</c:v>
                </c:pt>
                <c:pt idx="7">
                  <c:v>0</c:v>
                </c:pt>
              </c:numCache>
            </c:numRef>
          </c:val>
        </c:ser>
        <c:marker val="1"/>
        <c:axId val="160596736"/>
        <c:axId val="160598272"/>
      </c:lineChart>
      <c:catAx>
        <c:axId val="160596736"/>
        <c:scaling>
          <c:orientation val="minMax"/>
        </c:scaling>
        <c:axPos val="b"/>
        <c:tickLblPos val="nextTo"/>
        <c:crossAx val="160598272"/>
        <c:crosses val="autoZero"/>
        <c:auto val="1"/>
        <c:lblAlgn val="ctr"/>
        <c:lblOffset val="100"/>
      </c:catAx>
      <c:valAx>
        <c:axId val="160598272"/>
        <c:scaling>
          <c:orientation val="minMax"/>
        </c:scaling>
        <c:axPos val="l"/>
        <c:majorGridlines/>
        <c:numFmt formatCode="General" sourceLinked="1"/>
        <c:tickLblPos val="nextTo"/>
        <c:crossAx val="160596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3.1378228336953895</c:v>
                </c:pt>
                <c:pt idx="3">
                  <c:v>1.9263183241030584</c:v>
                </c:pt>
                <c:pt idx="4">
                  <c:v>3.3565092304003832</c:v>
                </c:pt>
                <c:pt idx="5">
                  <c:v>3.6939942802669217</c:v>
                </c:pt>
                <c:pt idx="6">
                  <c:v>2.9659508838533637</c:v>
                </c:pt>
                <c:pt idx="7">
                  <c:v>2.254122671728557</c:v>
                </c:pt>
              </c:numCache>
            </c:numRef>
          </c:val>
        </c:ser>
        <c:marker val="1"/>
        <c:axId val="160633216"/>
        <c:axId val="160634752"/>
      </c:lineChart>
      <c:catAx>
        <c:axId val="160633216"/>
        <c:scaling>
          <c:orientation val="minMax"/>
        </c:scaling>
        <c:axPos val="b"/>
        <c:tickLblPos val="nextTo"/>
        <c:crossAx val="160634752"/>
        <c:crosses val="autoZero"/>
        <c:auto val="1"/>
        <c:lblAlgn val="ctr"/>
        <c:lblOffset val="100"/>
      </c:catAx>
      <c:valAx>
        <c:axId val="160634752"/>
        <c:scaling>
          <c:orientation val="minMax"/>
        </c:scaling>
        <c:axPos val="l"/>
        <c:majorGridlines/>
        <c:numFmt formatCode="General" sourceLinked="1"/>
        <c:tickLblPos val="nextTo"/>
        <c:crossAx val="16063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Herefordshire, County of</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2.172338884866039</c:v>
                </c:pt>
                <c:pt idx="1">
                  <c:v>4.3342162292318811</c:v>
                </c:pt>
                <c:pt idx="2">
                  <c:v>5.634140493886358</c:v>
                </c:pt>
                <c:pt idx="3">
                  <c:v>3.8131553860819829</c:v>
                </c:pt>
                <c:pt idx="4">
                  <c:v>2.7761300272867482</c:v>
                </c:pt>
              </c:numCache>
            </c:numRef>
          </c:val>
        </c:ser>
        <c:marker val="1"/>
        <c:axId val="160669696"/>
        <c:axId val="160671232"/>
      </c:lineChart>
      <c:catAx>
        <c:axId val="160669696"/>
        <c:scaling>
          <c:orientation val="minMax"/>
        </c:scaling>
        <c:axPos val="b"/>
        <c:tickLblPos val="nextTo"/>
        <c:crossAx val="160671232"/>
        <c:crosses val="autoZero"/>
        <c:auto val="1"/>
        <c:lblAlgn val="ctr"/>
        <c:lblOffset val="100"/>
      </c:catAx>
      <c:valAx>
        <c:axId val="160671232"/>
        <c:scaling>
          <c:orientation val="minMax"/>
        </c:scaling>
        <c:axPos val="l"/>
        <c:majorGridlines/>
        <c:numFmt formatCode="General" sourceLinked="1"/>
        <c:tickLblPos val="nextTo"/>
        <c:crossAx val="16066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DF7C7-0314-4F3A-BE70-F12ABAA1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2018-04-27T14:25:00Z</dcterms:created>
  <dcterms:modified xsi:type="dcterms:W3CDTF">2018-05-01T14:14:00Z</dcterms:modified>
</cp:coreProperties>
</file>