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C1B56">
      <w:r w:rsidRPr="00CC1B56">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1335C5" w:rsidRDefault="001C0483" w:rsidP="004D3814">
                  <w:pPr>
                    <w:jc w:val="right"/>
                    <w:rPr>
                      <w:rFonts w:ascii="Segoe UI" w:hAnsi="Segoe UI" w:cs="Segoe UI"/>
                      <w:b/>
                      <w:sz w:val="72"/>
                      <w:szCs w:val="72"/>
                      <w:u w:val="single"/>
                    </w:rPr>
                  </w:pPr>
                  <w:r>
                    <w:rPr>
                      <w:rFonts w:ascii="Segoe UI" w:hAnsi="Segoe UI" w:cs="Segoe UI"/>
                      <w:b/>
                      <w:sz w:val="72"/>
                      <w:szCs w:val="72"/>
                      <w:u w:val="single"/>
                    </w:rPr>
                    <w:t>Isle</w:t>
                  </w:r>
                  <w:r w:rsidR="00E03381">
                    <w:rPr>
                      <w:rFonts w:ascii="Segoe UI" w:hAnsi="Segoe UI" w:cs="Segoe UI"/>
                      <w:b/>
                      <w:sz w:val="72"/>
                      <w:szCs w:val="72"/>
                      <w:u w:val="single"/>
                    </w:rPr>
                    <w:t>s</w:t>
                  </w:r>
                  <w:r>
                    <w:rPr>
                      <w:rFonts w:ascii="Segoe UI" w:hAnsi="Segoe UI" w:cs="Segoe UI"/>
                      <w:b/>
                      <w:sz w:val="72"/>
                      <w:szCs w:val="72"/>
                      <w:u w:val="single"/>
                    </w:rPr>
                    <w:t xml:space="preserve"> of </w:t>
                  </w:r>
                  <w:r w:rsidR="00E03381">
                    <w:rPr>
                      <w:rFonts w:ascii="Segoe UI" w:hAnsi="Segoe UI" w:cs="Segoe UI"/>
                      <w:b/>
                      <w:sz w:val="72"/>
                      <w:szCs w:val="72"/>
                      <w:u w:val="single"/>
                    </w:rPr>
                    <w:t>Scilly</w:t>
                  </w:r>
                  <w:r w:rsidR="002A2D7E">
                    <w:rPr>
                      <w:rFonts w:ascii="Segoe UI" w:hAnsi="Segoe UI" w:cs="Segoe UI"/>
                      <w:b/>
                      <w:sz w:val="72"/>
                      <w:szCs w:val="72"/>
                      <w:u w:val="single"/>
                    </w:rPr>
                    <w:t xml:space="preserve"> </w:t>
                  </w:r>
                  <w:r w:rsidR="009579D3" w:rsidRPr="001335C5">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CC1B56"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CC1B56"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CC1B56"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CC1B56"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CC1B56"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1C0483">
      <w:pPr>
        <w:rPr>
          <w:rFonts w:ascii="Segoe UI" w:hAnsi="Segoe UI" w:cs="Segoe UI"/>
        </w:rPr>
      </w:pPr>
      <w:r>
        <w:rPr>
          <w:rFonts w:ascii="Segoe UI" w:hAnsi="Segoe UI" w:cs="Segoe UI"/>
        </w:rPr>
        <w:t xml:space="preserve">Isle of </w:t>
      </w:r>
      <w:r w:rsidR="00E03381">
        <w:rPr>
          <w:rFonts w:ascii="Segoe UI" w:hAnsi="Segoe UI" w:cs="Segoe UI"/>
        </w:rPr>
        <w:t>Scilly</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5D1AC4">
        <w:rPr>
          <w:rFonts w:ascii="Segoe UI" w:hAnsi="Segoe UI" w:cs="Segoe UI"/>
        </w:rPr>
        <w:t>0</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E03381">
        <w:rPr>
          <w:rFonts w:ascii="Segoe UI" w:hAnsi="Segoe UI" w:cs="Segoe UI"/>
        </w:rPr>
        <w:t>1,410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894532">
        <w:rPr>
          <w:rFonts w:ascii="Segoe UI" w:hAnsi="Segoe UI" w:cs="Segoe UI"/>
        </w:rPr>
        <w:t>Isles of Scilly</w:t>
      </w:r>
      <w:r w:rsidR="002651E1">
        <w:rPr>
          <w:rFonts w:ascii="Segoe UI" w:hAnsi="Segoe UI" w:cs="Segoe UI"/>
        </w:rPr>
        <w:t xml:space="preserve"> </w:t>
      </w:r>
      <w:r w:rsidR="00465750">
        <w:rPr>
          <w:rFonts w:ascii="Segoe UI" w:hAnsi="Segoe UI" w:cs="Segoe UI"/>
        </w:rPr>
        <w:t xml:space="preserve">had net additions of </w:t>
      </w:r>
      <w:r w:rsidR="00894532">
        <w:rPr>
          <w:rFonts w:ascii="Segoe UI" w:hAnsi="Segoe UI" w:cs="Segoe UI"/>
        </w:rPr>
        <w:t>1</w:t>
      </w:r>
      <w:r w:rsidR="004A44E1">
        <w:rPr>
          <w:rFonts w:ascii="Segoe UI" w:hAnsi="Segoe UI" w:cs="Segoe UI"/>
        </w:rPr>
        <w:t xml:space="preserve"> dwellings</w:t>
      </w:r>
      <w:r w:rsidR="00465750">
        <w:rPr>
          <w:rFonts w:ascii="Segoe UI" w:hAnsi="Segoe UI" w:cs="Segoe UI"/>
        </w:rPr>
        <w:t xml:space="preserve"> comprised of </w:t>
      </w:r>
      <w:r w:rsidR="00894532">
        <w:rPr>
          <w:rFonts w:ascii="Segoe UI" w:hAnsi="Segoe UI" w:cs="Segoe UI"/>
        </w:rPr>
        <w:t>1</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894532">
        <w:rPr>
          <w:rFonts w:ascii="Segoe UI" w:hAnsi="Segoe UI" w:cs="Segoe UI"/>
        </w:rPr>
        <w:t>0</w:t>
      </w:r>
      <w:r w:rsidR="00465750">
        <w:rPr>
          <w:rFonts w:ascii="Segoe UI" w:hAnsi="Segoe UI" w:cs="Segoe UI"/>
        </w:rPr>
        <w:t xml:space="preserve"> change of use, and </w:t>
      </w:r>
      <w:r w:rsidR="00894532">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894532">
        <w:rPr>
          <w:rFonts w:ascii="Segoe UI" w:hAnsi="Segoe UI" w:cs="Segoe UI"/>
        </w:rPr>
        <w:t>Isles of Scilly</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w:t>
      </w:r>
      <w:r w:rsidR="00894532">
        <w:rPr>
          <w:rFonts w:ascii="Segoe UI" w:hAnsi="Segoe UI" w:cs="Segoe UI"/>
        </w:rPr>
        <w:t>and</w:t>
      </w:r>
      <w:r>
        <w:rPr>
          <w:rFonts w:ascii="Segoe UI" w:hAnsi="Segoe UI" w:cs="Segoe UI"/>
        </w:rPr>
        <w:t xml:space="preserve"> the number of households accommodated in temporary accommodat</w:t>
      </w:r>
      <w:r w:rsidR="009579D3">
        <w:rPr>
          <w:rFonts w:ascii="Segoe UI" w:hAnsi="Segoe UI" w:cs="Segoe UI"/>
        </w:rPr>
        <w:t xml:space="preserve">ion </w:t>
      </w:r>
      <w:r w:rsidR="00894532">
        <w:rPr>
          <w:rFonts w:ascii="Segoe UI" w:hAnsi="Segoe UI" w:cs="Segoe UI"/>
        </w:rPr>
        <w:t>are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94532"/>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C1B56"/>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0</c:v>
                </c:pt>
                <c:pt idx="1">
                  <c:v>#N/A</c:v>
                </c:pt>
                <c:pt idx="2">
                  <c:v>0</c:v>
                </c:pt>
                <c:pt idx="3">
                  <c:v>0</c:v>
                </c:pt>
                <c:pt idx="4">
                  <c:v>0</c:v>
                </c:pt>
                <c:pt idx="5">
                  <c:v>0</c:v>
                </c:pt>
                <c:pt idx="6">
                  <c:v>0</c:v>
                </c:pt>
                <c:pt idx="7">
                  <c:v>0</c:v>
                </c:pt>
              </c:numCache>
            </c:numRef>
          </c:val>
        </c:ser>
        <c:marker val="1"/>
        <c:axId val="138721920"/>
        <c:axId val="138768768"/>
      </c:lineChart>
      <c:catAx>
        <c:axId val="138721920"/>
        <c:scaling>
          <c:orientation val="minMax"/>
        </c:scaling>
        <c:axPos val="b"/>
        <c:tickLblPos val="nextTo"/>
        <c:txPr>
          <a:bodyPr/>
          <a:lstStyle/>
          <a:p>
            <a:pPr>
              <a:defRPr sz="1000"/>
            </a:pPr>
            <a:endParaRPr lang="en-US"/>
          </a:p>
        </c:txPr>
        <c:crossAx val="138768768"/>
        <c:crosses val="autoZero"/>
        <c:auto val="1"/>
        <c:lblAlgn val="ctr"/>
        <c:lblOffset val="100"/>
      </c:catAx>
      <c:valAx>
        <c:axId val="138768768"/>
        <c:scaling>
          <c:orientation val="minMax"/>
        </c:scaling>
        <c:axPos val="l"/>
        <c:majorGridlines/>
        <c:numFmt formatCode="General" sourceLinked="1"/>
        <c:tickLblPos val="nextTo"/>
        <c:crossAx val="138721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c:v>
                </c:pt>
              </c:numCache>
            </c:numRef>
          </c:val>
        </c:ser>
        <c:marker val="1"/>
        <c:axId val="140786688"/>
        <c:axId val="140800768"/>
      </c:lineChart>
      <c:catAx>
        <c:axId val="140786688"/>
        <c:scaling>
          <c:orientation val="minMax"/>
        </c:scaling>
        <c:axPos val="b"/>
        <c:tickLblPos val="nextTo"/>
        <c:crossAx val="140800768"/>
        <c:crosses val="autoZero"/>
        <c:auto val="1"/>
        <c:lblAlgn val="ctr"/>
        <c:lblOffset val="100"/>
      </c:catAx>
      <c:valAx>
        <c:axId val="140800768"/>
        <c:scaling>
          <c:orientation val="minMax"/>
        </c:scaling>
        <c:axPos val="l"/>
        <c:majorGridlines/>
        <c:numFmt formatCode="General" sourceLinked="1"/>
        <c:tickLblPos val="nextTo"/>
        <c:crossAx val="140786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c:v>
                </c:pt>
                <c:pt idx="2">
                  <c:v>0</c:v>
                </c:pt>
                <c:pt idx="3">
                  <c:v>0</c:v>
                </c:pt>
                <c:pt idx="4">
                  <c:v>0</c:v>
                </c:pt>
              </c:numCache>
            </c:numRef>
          </c:val>
        </c:ser>
        <c:marker val="1"/>
        <c:axId val="140843648"/>
        <c:axId val="140861824"/>
      </c:lineChart>
      <c:catAx>
        <c:axId val="140843648"/>
        <c:scaling>
          <c:orientation val="minMax"/>
        </c:scaling>
        <c:axPos val="b"/>
        <c:tickLblPos val="nextTo"/>
        <c:crossAx val="140861824"/>
        <c:crosses val="autoZero"/>
        <c:auto val="1"/>
        <c:lblAlgn val="ctr"/>
        <c:lblOffset val="100"/>
      </c:catAx>
      <c:valAx>
        <c:axId val="140861824"/>
        <c:scaling>
          <c:orientation val="minMax"/>
        </c:scaling>
        <c:axPos val="l"/>
        <c:majorGridlines/>
        <c:numFmt formatCode="General" sourceLinked="1"/>
        <c:tickLblPos val="nextTo"/>
        <c:crossAx val="140843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40880128"/>
        <c:axId val="140906496"/>
      </c:lineChart>
      <c:catAx>
        <c:axId val="140880128"/>
        <c:scaling>
          <c:orientation val="minMax"/>
        </c:scaling>
        <c:axPos val="b"/>
        <c:tickLblPos val="nextTo"/>
        <c:crossAx val="140906496"/>
        <c:crosses val="autoZero"/>
        <c:auto val="1"/>
        <c:lblAlgn val="ctr"/>
        <c:lblOffset val="100"/>
      </c:catAx>
      <c:valAx>
        <c:axId val="140906496"/>
        <c:scaling>
          <c:orientation val="minMax"/>
        </c:scaling>
        <c:axPos val="l"/>
        <c:majorGridlines/>
        <c:numFmt formatCode="General" sourceLinked="1"/>
        <c:tickLblPos val="nextTo"/>
        <c:crossAx val="140880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0</c:v>
                </c:pt>
              </c:numCache>
            </c:numRef>
          </c:val>
        </c:ser>
        <c:marker val="1"/>
        <c:axId val="140920704"/>
        <c:axId val="140922240"/>
      </c:lineChart>
      <c:catAx>
        <c:axId val="140920704"/>
        <c:scaling>
          <c:orientation val="minMax"/>
        </c:scaling>
        <c:axPos val="b"/>
        <c:tickLblPos val="nextTo"/>
        <c:crossAx val="140922240"/>
        <c:crosses val="autoZero"/>
        <c:auto val="1"/>
        <c:lblAlgn val="ctr"/>
        <c:lblOffset val="100"/>
      </c:catAx>
      <c:valAx>
        <c:axId val="140922240"/>
        <c:scaling>
          <c:orientation val="minMax"/>
        </c:scaling>
        <c:axPos val="l"/>
        <c:majorGridlines/>
        <c:numFmt formatCode="General" sourceLinked="1"/>
        <c:tickLblPos val="nextTo"/>
        <c:crossAx val="140920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0</c:v>
                </c:pt>
                <c:pt idx="1">
                  <c:v>0</c:v>
                </c:pt>
                <c:pt idx="2">
                  <c:v>0</c:v>
                </c:pt>
                <c:pt idx="3">
                  <c:v>0</c:v>
                </c:pt>
                <c:pt idx="4">
                  <c:v>0.70921985815602839</c:v>
                </c:pt>
              </c:numCache>
            </c:numRef>
          </c:val>
        </c:ser>
        <c:marker val="1"/>
        <c:axId val="140969472"/>
        <c:axId val="140971008"/>
      </c:lineChart>
      <c:catAx>
        <c:axId val="140969472"/>
        <c:scaling>
          <c:orientation val="minMax"/>
        </c:scaling>
        <c:axPos val="b"/>
        <c:tickLblPos val="nextTo"/>
        <c:crossAx val="140971008"/>
        <c:crosses val="autoZero"/>
        <c:auto val="1"/>
        <c:lblAlgn val="ctr"/>
        <c:lblOffset val="100"/>
      </c:catAx>
      <c:valAx>
        <c:axId val="140971008"/>
        <c:scaling>
          <c:orientation val="minMax"/>
        </c:scaling>
        <c:axPos val="l"/>
        <c:majorGridlines/>
        <c:numFmt formatCode="General" sourceLinked="1"/>
        <c:tickLblPos val="nextTo"/>
        <c:crossAx val="140969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Isles of Scilly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0</c:v>
                </c:pt>
                <c:pt idx="1">
                  <c:v>0</c:v>
                </c:pt>
                <c:pt idx="2">
                  <c:v>0</c:v>
                </c:pt>
                <c:pt idx="3">
                  <c:v>0</c:v>
                </c:pt>
                <c:pt idx="4">
                  <c:v>0</c:v>
                </c:pt>
              </c:numCache>
            </c:numRef>
          </c:val>
        </c:ser>
        <c:marker val="1"/>
        <c:axId val="141008896"/>
        <c:axId val="141010432"/>
      </c:lineChart>
      <c:catAx>
        <c:axId val="141008896"/>
        <c:scaling>
          <c:orientation val="minMax"/>
        </c:scaling>
        <c:axPos val="b"/>
        <c:numFmt formatCode="General" sourceLinked="1"/>
        <c:tickLblPos val="nextTo"/>
        <c:crossAx val="141010432"/>
        <c:crosses val="autoZero"/>
        <c:auto val="1"/>
        <c:lblAlgn val="ctr"/>
        <c:lblOffset val="100"/>
      </c:catAx>
      <c:valAx>
        <c:axId val="141010432"/>
        <c:scaling>
          <c:orientation val="minMax"/>
        </c:scaling>
        <c:axPos val="l"/>
        <c:majorGridlines/>
        <c:numFmt formatCode="General" sourceLinked="1"/>
        <c:tickLblPos val="nextTo"/>
        <c:crossAx val="141008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Isles of Scilly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0</c:v>
                </c:pt>
                <c:pt idx="1">
                  <c:v>0</c:v>
                </c:pt>
                <c:pt idx="2">
                  <c:v>0</c:v>
                </c:pt>
                <c:pt idx="3">
                  <c:v>0</c:v>
                </c:pt>
                <c:pt idx="4">
                  <c:v>0</c:v>
                </c:pt>
              </c:numCache>
            </c:numRef>
          </c:val>
        </c:ser>
        <c:marker val="1"/>
        <c:axId val="162467200"/>
        <c:axId val="162481280"/>
      </c:lineChart>
      <c:catAx>
        <c:axId val="162467200"/>
        <c:scaling>
          <c:orientation val="minMax"/>
        </c:scaling>
        <c:axPos val="b"/>
        <c:numFmt formatCode="General" sourceLinked="1"/>
        <c:tickLblPos val="nextTo"/>
        <c:crossAx val="162481280"/>
        <c:crosses val="autoZero"/>
        <c:auto val="1"/>
        <c:lblAlgn val="ctr"/>
        <c:lblOffset val="100"/>
      </c:catAx>
      <c:valAx>
        <c:axId val="162481280"/>
        <c:scaling>
          <c:orientation val="minMax"/>
        </c:scaling>
        <c:axPos val="l"/>
        <c:majorGridlines/>
        <c:numFmt formatCode="General" sourceLinked="1"/>
        <c:tickLblPos val="nextTo"/>
        <c:crossAx val="162467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Isles of Scilly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77.349999999999994</c:v>
                </c:pt>
                <c:pt idx="1">
                  <c:v>79.95</c:v>
                </c:pt>
                <c:pt idx="2">
                  <c:v>84.51</c:v>
                </c:pt>
                <c:pt idx="3">
                  <c:v>90.15</c:v>
                </c:pt>
                <c:pt idx="4">
                  <c:v>94.65</c:v>
                </c:pt>
                <c:pt idx="5">
                  <c:v>100.82</c:v>
                </c:pt>
                <c:pt idx="6">
                  <c:v>104.09000000000002</c:v>
                </c:pt>
                <c:pt idx="7">
                  <c:v>103.45999999999998</c:v>
                </c:pt>
              </c:numCache>
            </c:numRef>
          </c:val>
        </c:ser>
        <c:marker val="1"/>
        <c:axId val="162402304"/>
        <c:axId val="162403840"/>
      </c:lineChart>
      <c:catAx>
        <c:axId val="162402304"/>
        <c:scaling>
          <c:orientation val="minMax"/>
        </c:scaling>
        <c:axPos val="b"/>
        <c:numFmt formatCode="General" sourceLinked="1"/>
        <c:tickLblPos val="nextTo"/>
        <c:crossAx val="162403840"/>
        <c:crosses val="autoZero"/>
        <c:auto val="1"/>
        <c:lblAlgn val="ctr"/>
        <c:lblOffset val="100"/>
      </c:catAx>
      <c:valAx>
        <c:axId val="16240384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2402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c:v>
                </c:pt>
                <c:pt idx="1">
                  <c:v>0</c:v>
                </c:pt>
                <c:pt idx="2">
                  <c:v>3</c:v>
                </c:pt>
                <c:pt idx="3">
                  <c:v>0</c:v>
                </c:pt>
                <c:pt idx="4">
                  <c:v>0</c:v>
                </c:pt>
                <c:pt idx="5">
                  <c:v>0</c:v>
                </c:pt>
                <c:pt idx="6">
                  <c:v>0</c:v>
                </c:pt>
              </c:numCache>
            </c:numRef>
          </c:val>
        </c:ser>
        <c:marker val="1"/>
        <c:axId val="162443264"/>
        <c:axId val="162444800"/>
      </c:lineChart>
      <c:catAx>
        <c:axId val="162443264"/>
        <c:scaling>
          <c:orientation val="minMax"/>
        </c:scaling>
        <c:axPos val="b"/>
        <c:tickLblPos val="nextTo"/>
        <c:crossAx val="162444800"/>
        <c:crosses val="autoZero"/>
        <c:auto val="1"/>
        <c:lblAlgn val="ctr"/>
        <c:lblOffset val="100"/>
      </c:catAx>
      <c:valAx>
        <c:axId val="162444800"/>
        <c:scaling>
          <c:orientation val="minMax"/>
        </c:scaling>
        <c:axPos val="l"/>
        <c:majorGridlines/>
        <c:numFmt formatCode="General" sourceLinked="1"/>
        <c:tickLblPos val="nextTo"/>
        <c:crossAx val="162443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2</c:v>
                </c:pt>
                <c:pt idx="1">
                  <c:v>0</c:v>
                </c:pt>
                <c:pt idx="2">
                  <c:v>4</c:v>
                </c:pt>
                <c:pt idx="3">
                  <c:v>0</c:v>
                </c:pt>
                <c:pt idx="4">
                  <c:v>0</c:v>
                </c:pt>
                <c:pt idx="5">
                  <c:v>0</c:v>
                </c:pt>
                <c:pt idx="6">
                  <c:v>0</c:v>
                </c:pt>
              </c:numCache>
            </c:numRef>
          </c:val>
        </c:ser>
        <c:marker val="1"/>
        <c:axId val="162602368"/>
        <c:axId val="162620544"/>
      </c:lineChart>
      <c:catAx>
        <c:axId val="162602368"/>
        <c:scaling>
          <c:orientation val="minMax"/>
        </c:scaling>
        <c:axPos val="b"/>
        <c:tickLblPos val="nextTo"/>
        <c:crossAx val="162620544"/>
        <c:crosses val="autoZero"/>
        <c:auto val="1"/>
        <c:lblAlgn val="ctr"/>
        <c:lblOffset val="100"/>
      </c:catAx>
      <c:valAx>
        <c:axId val="162620544"/>
        <c:scaling>
          <c:orientation val="minMax"/>
        </c:scaling>
        <c:axPos val="l"/>
        <c:majorGridlines/>
        <c:numFmt formatCode="General" sourceLinked="1"/>
        <c:tickLblPos val="nextTo"/>
        <c:crossAx val="162602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#N/A</c:v>
                </c:pt>
                <c:pt idx="2">
                  <c:v>0</c:v>
                </c:pt>
                <c:pt idx="3">
                  <c:v>0</c:v>
                </c:pt>
                <c:pt idx="4">
                  <c:v>0</c:v>
                </c:pt>
                <c:pt idx="5">
                  <c:v>0</c:v>
                </c:pt>
                <c:pt idx="6">
                  <c:v>0</c:v>
                </c:pt>
                <c:pt idx="7">
                  <c:v>0</c:v>
                </c:pt>
              </c:numCache>
            </c:numRef>
          </c:val>
        </c:ser>
        <c:marker val="1"/>
        <c:axId val="126225024"/>
        <c:axId val="126230912"/>
      </c:lineChart>
      <c:catAx>
        <c:axId val="126225024"/>
        <c:scaling>
          <c:orientation val="minMax"/>
        </c:scaling>
        <c:axPos val="b"/>
        <c:tickLblPos val="nextTo"/>
        <c:crossAx val="126230912"/>
        <c:crosses val="autoZero"/>
        <c:auto val="1"/>
        <c:lblAlgn val="ctr"/>
        <c:lblOffset val="100"/>
      </c:catAx>
      <c:valAx>
        <c:axId val="126230912"/>
        <c:scaling>
          <c:orientation val="minMax"/>
        </c:scaling>
        <c:axPos val="l"/>
        <c:majorGridlines/>
        <c:numFmt formatCode="General" sourceLinked="1"/>
        <c:tickLblPos val="nextTo"/>
        <c:crossAx val="126225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#N/A</c:v>
                </c:pt>
                <c:pt idx="2">
                  <c:v>0</c:v>
                </c:pt>
                <c:pt idx="3">
                  <c:v>0</c:v>
                </c:pt>
                <c:pt idx="4">
                  <c:v>0</c:v>
                </c:pt>
                <c:pt idx="5">
                  <c:v>0</c:v>
                </c:pt>
                <c:pt idx="6">
                  <c:v>0</c:v>
                </c:pt>
                <c:pt idx="7">
                  <c:v>0</c:v>
                </c:pt>
              </c:numCache>
            </c:numRef>
          </c:val>
        </c:ser>
        <c:marker val="1"/>
        <c:axId val="126265600"/>
        <c:axId val="126279680"/>
      </c:lineChart>
      <c:catAx>
        <c:axId val="126265600"/>
        <c:scaling>
          <c:orientation val="minMax"/>
        </c:scaling>
        <c:axPos val="b"/>
        <c:tickLblPos val="nextTo"/>
        <c:crossAx val="126279680"/>
        <c:crosses val="autoZero"/>
        <c:auto val="1"/>
        <c:lblAlgn val="ctr"/>
        <c:lblOffset val="100"/>
      </c:catAx>
      <c:valAx>
        <c:axId val="126279680"/>
        <c:scaling>
          <c:orientation val="minMax"/>
        </c:scaling>
        <c:axPos val="l"/>
        <c:majorGridlines/>
        <c:numFmt formatCode="General" sourceLinked="1"/>
        <c:tickLblPos val="nextTo"/>
        <c:crossAx val="126265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0</c:v>
                </c:pt>
                <c:pt idx="1">
                  <c:v>#N/A</c:v>
                </c:pt>
                <c:pt idx="2">
                  <c:v>0</c:v>
                </c:pt>
                <c:pt idx="3">
                  <c:v>0</c:v>
                </c:pt>
                <c:pt idx="4">
                  <c:v>0</c:v>
                </c:pt>
                <c:pt idx="5">
                  <c:v>0</c:v>
                </c:pt>
                <c:pt idx="6">
                  <c:v>0</c:v>
                </c:pt>
                <c:pt idx="7">
                  <c:v>0</c:v>
                </c:pt>
              </c:numCache>
            </c:numRef>
          </c:val>
        </c:ser>
        <c:marker val="1"/>
        <c:axId val="139036544"/>
        <c:axId val="139038080"/>
      </c:lineChart>
      <c:catAx>
        <c:axId val="139036544"/>
        <c:scaling>
          <c:orientation val="minMax"/>
        </c:scaling>
        <c:axPos val="b"/>
        <c:tickLblPos val="nextTo"/>
        <c:crossAx val="139038080"/>
        <c:crosses val="autoZero"/>
        <c:auto val="1"/>
        <c:lblAlgn val="ctr"/>
        <c:lblOffset val="100"/>
      </c:catAx>
      <c:valAx>
        <c:axId val="139038080"/>
        <c:scaling>
          <c:orientation val="minMax"/>
        </c:scaling>
        <c:axPos val="l"/>
        <c:majorGridlines/>
        <c:numFmt formatCode="General" sourceLinked="1"/>
        <c:tickLblPos val="nextTo"/>
        <c:crossAx val="13903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0</c:v>
                </c:pt>
                <c:pt idx="1">
                  <c:v>#N/A</c:v>
                </c:pt>
                <c:pt idx="2">
                  <c:v>0</c:v>
                </c:pt>
                <c:pt idx="3">
                  <c:v>0</c:v>
                </c:pt>
                <c:pt idx="4">
                  <c:v>0</c:v>
                </c:pt>
                <c:pt idx="5">
                  <c:v>0</c:v>
                </c:pt>
                <c:pt idx="6">
                  <c:v>0</c:v>
                </c:pt>
                <c:pt idx="7">
                  <c:v>0</c:v>
                </c:pt>
              </c:numCache>
            </c:numRef>
          </c:val>
        </c:ser>
        <c:marker val="1"/>
        <c:axId val="140580352"/>
        <c:axId val="140581888"/>
      </c:lineChart>
      <c:catAx>
        <c:axId val="140580352"/>
        <c:scaling>
          <c:orientation val="minMax"/>
        </c:scaling>
        <c:axPos val="b"/>
        <c:tickLblPos val="nextTo"/>
        <c:crossAx val="140581888"/>
        <c:crosses val="autoZero"/>
        <c:auto val="1"/>
        <c:lblAlgn val="ctr"/>
        <c:lblOffset val="100"/>
      </c:catAx>
      <c:valAx>
        <c:axId val="140581888"/>
        <c:scaling>
          <c:orientation val="minMax"/>
        </c:scaling>
        <c:axPos val="l"/>
        <c:majorGridlines/>
        <c:numFmt formatCode="General" sourceLinked="1"/>
        <c:tickLblPos val="nextTo"/>
        <c:crossAx val="140580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#N/A</c:v>
                </c:pt>
                <c:pt idx="2">
                  <c:v>7.1428571428571415</c:v>
                </c:pt>
                <c:pt idx="3">
                  <c:v>0</c:v>
                </c:pt>
                <c:pt idx="4">
                  <c:v>0</c:v>
                </c:pt>
                <c:pt idx="5">
                  <c:v>0</c:v>
                </c:pt>
                <c:pt idx="6">
                  <c:v>0</c:v>
                </c:pt>
                <c:pt idx="7">
                  <c:v>0</c:v>
                </c:pt>
              </c:numCache>
            </c:numRef>
          </c:val>
        </c:ser>
        <c:marker val="1"/>
        <c:axId val="140625024"/>
        <c:axId val="140626560"/>
      </c:lineChart>
      <c:catAx>
        <c:axId val="140625024"/>
        <c:scaling>
          <c:orientation val="minMax"/>
        </c:scaling>
        <c:axPos val="b"/>
        <c:tickLblPos val="nextTo"/>
        <c:crossAx val="140626560"/>
        <c:crosses val="autoZero"/>
        <c:auto val="1"/>
        <c:lblAlgn val="ctr"/>
        <c:lblOffset val="100"/>
      </c:catAx>
      <c:valAx>
        <c:axId val="140626560"/>
        <c:scaling>
          <c:orientation val="minMax"/>
        </c:scaling>
        <c:axPos val="l"/>
        <c:majorGridlines/>
        <c:numFmt formatCode="General" sourceLinked="1"/>
        <c:tickLblPos val="nextTo"/>
        <c:crossAx val="140625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#N/A</c:v>
                </c:pt>
                <c:pt idx="2">
                  <c:v>0</c:v>
                </c:pt>
                <c:pt idx="3">
                  <c:v>0</c:v>
                </c:pt>
                <c:pt idx="4">
                  <c:v>0</c:v>
                </c:pt>
                <c:pt idx="5">
                  <c:v>0</c:v>
                </c:pt>
                <c:pt idx="6">
                  <c:v>0</c:v>
                </c:pt>
                <c:pt idx="7">
                  <c:v>0</c:v>
                </c:pt>
              </c:numCache>
            </c:numRef>
          </c:val>
        </c:ser>
        <c:marker val="1"/>
        <c:axId val="140677888"/>
        <c:axId val="140679424"/>
      </c:lineChart>
      <c:catAx>
        <c:axId val="140677888"/>
        <c:scaling>
          <c:orientation val="minMax"/>
        </c:scaling>
        <c:axPos val="b"/>
        <c:tickLblPos val="nextTo"/>
        <c:crossAx val="140679424"/>
        <c:crosses val="autoZero"/>
        <c:auto val="1"/>
        <c:lblAlgn val="ctr"/>
        <c:lblOffset val="100"/>
      </c:catAx>
      <c:valAx>
        <c:axId val="140679424"/>
        <c:scaling>
          <c:orientation val="minMax"/>
        </c:scaling>
        <c:axPos val="l"/>
        <c:majorGridlines/>
        <c:numFmt formatCode="General" sourceLinked="1"/>
        <c:tickLblPos val="nextTo"/>
        <c:crossAx val="140677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0</c:v>
                </c:pt>
                <c:pt idx="1">
                  <c:v>#N/A</c:v>
                </c:pt>
                <c:pt idx="2">
                  <c:v>7.1428571428571415</c:v>
                </c:pt>
                <c:pt idx="3">
                  <c:v>0</c:v>
                </c:pt>
                <c:pt idx="4">
                  <c:v>0</c:v>
                </c:pt>
                <c:pt idx="5">
                  <c:v>0</c:v>
                </c:pt>
                <c:pt idx="6">
                  <c:v>0</c:v>
                </c:pt>
                <c:pt idx="7">
                  <c:v>0</c:v>
                </c:pt>
              </c:numCache>
            </c:numRef>
          </c:val>
        </c:ser>
        <c:marker val="1"/>
        <c:axId val="140718464"/>
        <c:axId val="140720000"/>
      </c:lineChart>
      <c:catAx>
        <c:axId val="140718464"/>
        <c:scaling>
          <c:orientation val="minMax"/>
        </c:scaling>
        <c:axPos val="b"/>
        <c:tickLblPos val="nextTo"/>
        <c:crossAx val="140720000"/>
        <c:crosses val="autoZero"/>
        <c:auto val="1"/>
        <c:lblAlgn val="ctr"/>
        <c:lblOffset val="100"/>
      </c:catAx>
      <c:valAx>
        <c:axId val="140720000"/>
        <c:scaling>
          <c:orientation val="minMax"/>
        </c:scaling>
        <c:axPos val="l"/>
        <c:majorGridlines/>
        <c:numFmt formatCode="General" sourceLinked="1"/>
        <c:tickLblPos val="nextTo"/>
        <c:crossAx val="140718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Isles of Scilly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0</c:v>
                </c:pt>
                <c:pt idx="1">
                  <c:v>0</c:v>
                </c:pt>
                <c:pt idx="2">
                  <c:v>0</c:v>
                </c:pt>
                <c:pt idx="3">
                  <c:v>0</c:v>
                </c:pt>
                <c:pt idx="4">
                  <c:v>0.70921985815602839</c:v>
                </c:pt>
              </c:numCache>
            </c:numRef>
          </c:val>
        </c:ser>
        <c:marker val="1"/>
        <c:axId val="140750848"/>
        <c:axId val="140752384"/>
      </c:lineChart>
      <c:catAx>
        <c:axId val="140750848"/>
        <c:scaling>
          <c:orientation val="minMax"/>
        </c:scaling>
        <c:axPos val="b"/>
        <c:tickLblPos val="nextTo"/>
        <c:crossAx val="140752384"/>
        <c:crosses val="autoZero"/>
        <c:auto val="1"/>
        <c:lblAlgn val="ctr"/>
        <c:lblOffset val="100"/>
      </c:catAx>
      <c:valAx>
        <c:axId val="140752384"/>
        <c:scaling>
          <c:orientation val="minMax"/>
        </c:scaling>
        <c:axPos val="l"/>
        <c:majorGridlines/>
        <c:numFmt formatCode="General" sourceLinked="1"/>
        <c:tickLblPos val="nextTo"/>
        <c:crossAx val="140750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9AB44-5EC3-4093-A6D2-ED61C28D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2018-04-27T15:01:00Z</dcterms:created>
  <dcterms:modified xsi:type="dcterms:W3CDTF">2018-05-01T14:38:00Z</dcterms:modified>
</cp:coreProperties>
</file>