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23D35">
      <w:r w:rsidRPr="00823D35">
        <w:rPr>
          <w:noProof/>
          <w:lang w:val="en-US" w:eastAsia="zh-TW"/>
        </w:rPr>
        <w:pict>
          <v:shapetype id="_x0000_t202" coordsize="21600,21600" o:spt="202" path="m,l,21600r21600,l21600,xe">
            <v:stroke joinstyle="miter"/>
            <v:path gradientshapeok="t" o:connecttype="rect"/>
          </v:shapetype>
          <v:shape id="_x0000_s1026" type="#_x0000_t202" style="position:absolute;margin-left:551.4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A16FC9" w:rsidRDefault="00476555" w:rsidP="004D3814">
                  <w:pPr>
                    <w:jc w:val="right"/>
                    <w:rPr>
                      <w:rFonts w:ascii="Segoe UI" w:hAnsi="Segoe UI" w:cs="Segoe UI"/>
                      <w:b/>
                      <w:sz w:val="72"/>
                      <w:szCs w:val="72"/>
                      <w:u w:val="single"/>
                    </w:rPr>
                  </w:pPr>
                  <w:r>
                    <w:rPr>
                      <w:rFonts w:ascii="Segoe UI" w:hAnsi="Segoe UI" w:cs="Segoe UI"/>
                      <w:b/>
                      <w:sz w:val="72"/>
                      <w:szCs w:val="72"/>
                      <w:u w:val="single"/>
                    </w:rPr>
                    <w:t>M</w:t>
                  </w:r>
                  <w:r w:rsidR="004C5C0E">
                    <w:rPr>
                      <w:rFonts w:ascii="Segoe UI" w:hAnsi="Segoe UI" w:cs="Segoe UI"/>
                      <w:b/>
                      <w:sz w:val="72"/>
                      <w:szCs w:val="72"/>
                      <w:u w:val="single"/>
                    </w:rPr>
                    <w:t>elton</w:t>
                  </w:r>
                  <w:r w:rsidR="002A2D7E" w:rsidRPr="00A16FC9">
                    <w:rPr>
                      <w:rFonts w:ascii="Segoe UI" w:hAnsi="Segoe UI" w:cs="Segoe UI"/>
                      <w:b/>
                      <w:sz w:val="72"/>
                      <w:szCs w:val="72"/>
                      <w:u w:val="single"/>
                    </w:rPr>
                    <w:t xml:space="preserve"> </w:t>
                  </w:r>
                  <w:r w:rsidR="009579D3" w:rsidRPr="00A16FC9">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23D35"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23D35"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23D35"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23D35"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23D35"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4C5C0E">
      <w:pPr>
        <w:rPr>
          <w:rFonts w:ascii="Segoe UI" w:hAnsi="Segoe UI" w:cs="Segoe UI"/>
        </w:rPr>
      </w:pPr>
      <w:r>
        <w:rPr>
          <w:rFonts w:ascii="Segoe UI" w:hAnsi="Segoe UI" w:cs="Segoe UI"/>
        </w:rPr>
        <w:t>Melton</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Pr>
          <w:rFonts w:ascii="Segoe UI" w:hAnsi="Segoe UI" w:cs="Segoe UI"/>
        </w:rPr>
        <w:t>10</w:t>
      </w:r>
      <w:r w:rsidR="005D1AC4">
        <w:rPr>
          <w:rFonts w:ascii="Segoe UI" w:hAnsi="Segoe UI" w:cs="Segoe UI"/>
        </w:rPr>
        <w:t>0</w:t>
      </w:r>
      <w:r w:rsidR="00FA4ACC">
        <w:rPr>
          <w:rFonts w:ascii="Segoe UI" w:hAnsi="Segoe UI" w:cs="Segoe UI"/>
        </w:rPr>
        <w:t xml:space="preserve">, made up of </w:t>
      </w:r>
      <w:r>
        <w:rPr>
          <w:rFonts w:ascii="Segoe UI" w:hAnsi="Segoe UI" w:cs="Segoe UI"/>
        </w:rPr>
        <w:t>8</w:t>
      </w:r>
      <w:r w:rsidR="00FA4ACC">
        <w:rPr>
          <w:rFonts w:ascii="Segoe UI" w:hAnsi="Segoe UI" w:cs="Segoe UI"/>
        </w:rPr>
        <w:t>0 private enterprise builds</w:t>
      </w:r>
      <w:r>
        <w:rPr>
          <w:rFonts w:ascii="Segoe UI" w:hAnsi="Segoe UI" w:cs="Segoe UI"/>
        </w:rPr>
        <w:t xml:space="preserve"> and 2</w:t>
      </w:r>
      <w:r w:rsidR="00476555">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Pr>
          <w:rFonts w:ascii="Segoe UI" w:hAnsi="Segoe UI" w:cs="Segoe UI"/>
        </w:rPr>
        <w:t>22,680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35358F">
        <w:rPr>
          <w:rFonts w:ascii="Segoe UI" w:hAnsi="Segoe UI" w:cs="Segoe UI"/>
        </w:rPr>
        <w:t>Melton</w:t>
      </w:r>
      <w:r w:rsidR="002651E1">
        <w:rPr>
          <w:rFonts w:ascii="Segoe UI" w:hAnsi="Segoe UI" w:cs="Segoe UI"/>
        </w:rPr>
        <w:t xml:space="preserve"> </w:t>
      </w:r>
      <w:r w:rsidR="00465750">
        <w:rPr>
          <w:rFonts w:ascii="Segoe UI" w:hAnsi="Segoe UI" w:cs="Segoe UI"/>
        </w:rPr>
        <w:t xml:space="preserve">had net additions of </w:t>
      </w:r>
      <w:r w:rsidR="0035358F">
        <w:rPr>
          <w:rFonts w:ascii="Segoe UI" w:hAnsi="Segoe UI" w:cs="Segoe UI"/>
        </w:rPr>
        <w:t>147</w:t>
      </w:r>
      <w:r w:rsidR="004A44E1">
        <w:rPr>
          <w:rFonts w:ascii="Segoe UI" w:hAnsi="Segoe UI" w:cs="Segoe UI"/>
        </w:rPr>
        <w:t xml:space="preserve"> dwellings</w:t>
      </w:r>
      <w:r w:rsidR="00465750">
        <w:rPr>
          <w:rFonts w:ascii="Segoe UI" w:hAnsi="Segoe UI" w:cs="Segoe UI"/>
        </w:rPr>
        <w:t xml:space="preserve"> comprised of </w:t>
      </w:r>
      <w:r w:rsidR="0035358F">
        <w:rPr>
          <w:rFonts w:ascii="Segoe UI" w:hAnsi="Segoe UI" w:cs="Segoe UI"/>
        </w:rPr>
        <w:t xml:space="preserve">137 </w:t>
      </w:r>
      <w:r w:rsidR="00465750">
        <w:rPr>
          <w:rFonts w:ascii="Segoe UI" w:hAnsi="Segoe UI" w:cs="Segoe UI"/>
        </w:rPr>
        <w:t xml:space="preserve">new builds, </w:t>
      </w:r>
      <w:r w:rsidR="0035358F">
        <w:rPr>
          <w:rFonts w:ascii="Segoe UI" w:hAnsi="Segoe UI" w:cs="Segoe UI"/>
        </w:rPr>
        <w:t>1</w:t>
      </w:r>
      <w:r w:rsidR="00465750">
        <w:rPr>
          <w:rFonts w:ascii="Segoe UI" w:hAnsi="Segoe UI" w:cs="Segoe UI"/>
        </w:rPr>
        <w:t xml:space="preserve"> conversations, </w:t>
      </w:r>
      <w:r w:rsidR="0035358F">
        <w:rPr>
          <w:rFonts w:ascii="Segoe UI" w:hAnsi="Segoe UI" w:cs="Segoe UI"/>
        </w:rPr>
        <w:t>16</w:t>
      </w:r>
      <w:r w:rsidR="00465750">
        <w:rPr>
          <w:rFonts w:ascii="Segoe UI" w:hAnsi="Segoe UI" w:cs="Segoe UI"/>
        </w:rPr>
        <w:t xml:space="preserve"> change of use, and </w:t>
      </w:r>
      <w:r w:rsidR="0035358F">
        <w:rPr>
          <w:rFonts w:ascii="Segoe UI" w:hAnsi="Segoe UI" w:cs="Segoe UI"/>
        </w:rPr>
        <w:t>7</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35358F">
        <w:rPr>
          <w:rFonts w:ascii="Segoe UI" w:hAnsi="Segoe UI" w:cs="Segoe UI"/>
        </w:rPr>
        <w:t>Melton</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9579D3">
        <w:rPr>
          <w:rFonts w:ascii="Segoe UI" w:hAnsi="Segoe UI" w:cs="Segoe UI"/>
        </w:rPr>
        <w:t xml:space="preserve">eed per 1,000 households was </w:t>
      </w:r>
      <w:r w:rsidR="0035358F">
        <w:rPr>
          <w:rFonts w:ascii="Segoe UI" w:hAnsi="Segoe UI" w:cs="Segoe UI"/>
        </w:rPr>
        <w:t>2.5</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35358F">
        <w:rPr>
          <w:rFonts w:ascii="Segoe UI" w:hAnsi="Segoe UI" w:cs="Segoe UI"/>
        </w:rPr>
        <w:t>1.5</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4C2A"/>
    <w:rsid w:val="00057D91"/>
    <w:rsid w:val="00075447"/>
    <w:rsid w:val="000A253B"/>
    <w:rsid w:val="000A5C43"/>
    <w:rsid w:val="000B410A"/>
    <w:rsid w:val="000D1137"/>
    <w:rsid w:val="000D7426"/>
    <w:rsid w:val="000E0225"/>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30CF6"/>
    <w:rsid w:val="002408BD"/>
    <w:rsid w:val="002514E2"/>
    <w:rsid w:val="00256D31"/>
    <w:rsid w:val="00257FBA"/>
    <w:rsid w:val="002651E1"/>
    <w:rsid w:val="00274ED9"/>
    <w:rsid w:val="00295A64"/>
    <w:rsid w:val="002A2D7E"/>
    <w:rsid w:val="002B39D0"/>
    <w:rsid w:val="002B3CB9"/>
    <w:rsid w:val="002C6BB4"/>
    <w:rsid w:val="002D62CB"/>
    <w:rsid w:val="00314ED1"/>
    <w:rsid w:val="00321059"/>
    <w:rsid w:val="00326C5A"/>
    <w:rsid w:val="00340480"/>
    <w:rsid w:val="00340CF5"/>
    <w:rsid w:val="0035358F"/>
    <w:rsid w:val="00360FD9"/>
    <w:rsid w:val="00371E26"/>
    <w:rsid w:val="00377466"/>
    <w:rsid w:val="003815DA"/>
    <w:rsid w:val="00383CA1"/>
    <w:rsid w:val="003878B8"/>
    <w:rsid w:val="003B5117"/>
    <w:rsid w:val="003C1462"/>
    <w:rsid w:val="003C40D8"/>
    <w:rsid w:val="003D7517"/>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7C92"/>
    <w:rsid w:val="0052568F"/>
    <w:rsid w:val="00545A25"/>
    <w:rsid w:val="0054613A"/>
    <w:rsid w:val="00555F9F"/>
    <w:rsid w:val="00557B7F"/>
    <w:rsid w:val="00563585"/>
    <w:rsid w:val="0057388A"/>
    <w:rsid w:val="00575E1E"/>
    <w:rsid w:val="00587D4E"/>
    <w:rsid w:val="005B3FA2"/>
    <w:rsid w:val="005C33B2"/>
    <w:rsid w:val="005C458E"/>
    <w:rsid w:val="005D1AC4"/>
    <w:rsid w:val="00600EBE"/>
    <w:rsid w:val="00604F05"/>
    <w:rsid w:val="0060780B"/>
    <w:rsid w:val="00614B35"/>
    <w:rsid w:val="0061640B"/>
    <w:rsid w:val="00616D21"/>
    <w:rsid w:val="006245BC"/>
    <w:rsid w:val="006464CF"/>
    <w:rsid w:val="0065405D"/>
    <w:rsid w:val="00665AAB"/>
    <w:rsid w:val="00675025"/>
    <w:rsid w:val="0068362E"/>
    <w:rsid w:val="00692E85"/>
    <w:rsid w:val="006931D7"/>
    <w:rsid w:val="006A3967"/>
    <w:rsid w:val="006A58A6"/>
    <w:rsid w:val="006E0A15"/>
    <w:rsid w:val="006E4A43"/>
    <w:rsid w:val="006F4FD3"/>
    <w:rsid w:val="006F75BA"/>
    <w:rsid w:val="0070182B"/>
    <w:rsid w:val="00707CEB"/>
    <w:rsid w:val="00715D9D"/>
    <w:rsid w:val="007404AB"/>
    <w:rsid w:val="0075601D"/>
    <w:rsid w:val="00765529"/>
    <w:rsid w:val="007669F4"/>
    <w:rsid w:val="00786635"/>
    <w:rsid w:val="007B5629"/>
    <w:rsid w:val="007D3509"/>
    <w:rsid w:val="007D4BF5"/>
    <w:rsid w:val="007E0505"/>
    <w:rsid w:val="007E65D3"/>
    <w:rsid w:val="007F66C5"/>
    <w:rsid w:val="008211F5"/>
    <w:rsid w:val="00823D35"/>
    <w:rsid w:val="008243CA"/>
    <w:rsid w:val="0083304D"/>
    <w:rsid w:val="00855650"/>
    <w:rsid w:val="00863A32"/>
    <w:rsid w:val="00867BF8"/>
    <w:rsid w:val="00884EF2"/>
    <w:rsid w:val="00886701"/>
    <w:rsid w:val="00890675"/>
    <w:rsid w:val="008909B3"/>
    <w:rsid w:val="008A1121"/>
    <w:rsid w:val="008C071D"/>
    <w:rsid w:val="008C5ECB"/>
    <w:rsid w:val="008C78B5"/>
    <w:rsid w:val="008D66C0"/>
    <w:rsid w:val="008F3BE5"/>
    <w:rsid w:val="008F3CBB"/>
    <w:rsid w:val="009528EC"/>
    <w:rsid w:val="009576E7"/>
    <w:rsid w:val="009579D3"/>
    <w:rsid w:val="009676E3"/>
    <w:rsid w:val="00975DC7"/>
    <w:rsid w:val="009867B6"/>
    <w:rsid w:val="009902B8"/>
    <w:rsid w:val="00993F57"/>
    <w:rsid w:val="009B02FC"/>
    <w:rsid w:val="009B0857"/>
    <w:rsid w:val="009B632B"/>
    <w:rsid w:val="009E5806"/>
    <w:rsid w:val="00A02536"/>
    <w:rsid w:val="00A16075"/>
    <w:rsid w:val="00A16FC9"/>
    <w:rsid w:val="00A3620F"/>
    <w:rsid w:val="00A44C1F"/>
    <w:rsid w:val="00A57F92"/>
    <w:rsid w:val="00A61248"/>
    <w:rsid w:val="00A67FA7"/>
    <w:rsid w:val="00A76BD8"/>
    <w:rsid w:val="00AA4EAF"/>
    <w:rsid w:val="00AB2003"/>
    <w:rsid w:val="00AC18BA"/>
    <w:rsid w:val="00AE2392"/>
    <w:rsid w:val="00AE3362"/>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204AF"/>
    <w:rsid w:val="00C26302"/>
    <w:rsid w:val="00C27833"/>
    <w:rsid w:val="00C33EE4"/>
    <w:rsid w:val="00C427E1"/>
    <w:rsid w:val="00C60E60"/>
    <w:rsid w:val="00C62E3C"/>
    <w:rsid w:val="00C63A68"/>
    <w:rsid w:val="00C66719"/>
    <w:rsid w:val="00C85FB2"/>
    <w:rsid w:val="00CA0B05"/>
    <w:rsid w:val="00CB452F"/>
    <w:rsid w:val="00CF4140"/>
    <w:rsid w:val="00CF7E07"/>
    <w:rsid w:val="00D1146E"/>
    <w:rsid w:val="00D170C3"/>
    <w:rsid w:val="00D31FBD"/>
    <w:rsid w:val="00D32C9E"/>
    <w:rsid w:val="00D34678"/>
    <w:rsid w:val="00D3717A"/>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4.08905043162199</c:v>
                </c:pt>
                <c:pt idx="1">
                  <c:v>4.9571879224876065</c:v>
                </c:pt>
                <c:pt idx="2">
                  <c:v>3.5810205908683979</c:v>
                </c:pt>
                <c:pt idx="3">
                  <c:v>1.7849174475680503</c:v>
                </c:pt>
                <c:pt idx="4">
                  <c:v>2.2261798753339272</c:v>
                </c:pt>
                <c:pt idx="5">
                  <c:v>4.4365572315882877</c:v>
                </c:pt>
                <c:pt idx="6">
                  <c:v>3.5273368606701947</c:v>
                </c:pt>
                <c:pt idx="7">
                  <c:v>5.7319223985890666</c:v>
                </c:pt>
              </c:numCache>
            </c:numRef>
          </c:val>
        </c:ser>
        <c:marker val="1"/>
        <c:axId val="172341888"/>
        <c:axId val="172392832"/>
      </c:lineChart>
      <c:catAx>
        <c:axId val="172341888"/>
        <c:scaling>
          <c:orientation val="minMax"/>
        </c:scaling>
        <c:axPos val="b"/>
        <c:tickLblPos val="nextTo"/>
        <c:txPr>
          <a:bodyPr/>
          <a:lstStyle/>
          <a:p>
            <a:pPr>
              <a:defRPr sz="1000"/>
            </a:pPr>
            <a:endParaRPr lang="en-US"/>
          </a:p>
        </c:txPr>
        <c:crossAx val="172392832"/>
        <c:crosses val="autoZero"/>
        <c:auto val="1"/>
        <c:lblAlgn val="ctr"/>
        <c:lblOffset val="100"/>
      </c:catAx>
      <c:valAx>
        <c:axId val="172392832"/>
        <c:scaling>
          <c:orientation val="minMax"/>
        </c:scaling>
        <c:axPos val="l"/>
        <c:majorGridlines/>
        <c:numFmt formatCode="General" sourceLinked="1"/>
        <c:tickLblPos val="nextTo"/>
        <c:crossAx val="1723418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c:v>
                </c:pt>
                <c:pt idx="1">
                  <c:v>0</c:v>
                </c:pt>
                <c:pt idx="2">
                  <c:v>0.89047195013357072</c:v>
                </c:pt>
                <c:pt idx="3">
                  <c:v>0.88731144631765757</c:v>
                </c:pt>
                <c:pt idx="4">
                  <c:v>4.409171075837743E-2</c:v>
                </c:pt>
              </c:numCache>
            </c:numRef>
          </c:val>
        </c:ser>
        <c:marker val="1"/>
        <c:axId val="173292544"/>
        <c:axId val="173302528"/>
      </c:lineChart>
      <c:catAx>
        <c:axId val="173292544"/>
        <c:scaling>
          <c:orientation val="minMax"/>
        </c:scaling>
        <c:axPos val="b"/>
        <c:tickLblPos val="nextTo"/>
        <c:crossAx val="173302528"/>
        <c:crosses val="autoZero"/>
        <c:auto val="1"/>
        <c:lblAlgn val="ctr"/>
        <c:lblOffset val="100"/>
      </c:catAx>
      <c:valAx>
        <c:axId val="173302528"/>
        <c:scaling>
          <c:orientation val="minMax"/>
        </c:scaling>
        <c:axPos val="l"/>
        <c:majorGridlines/>
        <c:numFmt formatCode="General" sourceLinked="1"/>
        <c:tickLblPos val="nextTo"/>
        <c:crossAx val="173292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0.44762757385854968</c:v>
                </c:pt>
                <c:pt idx="1">
                  <c:v>0.89245872378402491</c:v>
                </c:pt>
                <c:pt idx="2">
                  <c:v>0</c:v>
                </c:pt>
                <c:pt idx="3">
                  <c:v>0.44365572315882879</c:v>
                </c:pt>
                <c:pt idx="4">
                  <c:v>0.70546737213403887</c:v>
                </c:pt>
              </c:numCache>
            </c:numRef>
          </c:val>
        </c:ser>
        <c:marker val="1"/>
        <c:axId val="173345408"/>
        <c:axId val="173363584"/>
      </c:lineChart>
      <c:catAx>
        <c:axId val="173345408"/>
        <c:scaling>
          <c:orientation val="minMax"/>
        </c:scaling>
        <c:axPos val="b"/>
        <c:tickLblPos val="nextTo"/>
        <c:crossAx val="173363584"/>
        <c:crosses val="autoZero"/>
        <c:auto val="1"/>
        <c:lblAlgn val="ctr"/>
        <c:lblOffset val="100"/>
      </c:catAx>
      <c:valAx>
        <c:axId val="173363584"/>
        <c:scaling>
          <c:orientation val="minMax"/>
        </c:scaling>
        <c:axPos val="l"/>
        <c:majorGridlines/>
        <c:numFmt formatCode="General" sourceLinked="1"/>
        <c:tickLblPos val="nextTo"/>
        <c:crossAx val="1733454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c:v>
                </c:pt>
                <c:pt idx="2">
                  <c:v>0</c:v>
                </c:pt>
                <c:pt idx="3">
                  <c:v>0</c:v>
                </c:pt>
                <c:pt idx="4">
                  <c:v>0</c:v>
                </c:pt>
              </c:numCache>
            </c:numRef>
          </c:val>
        </c:ser>
        <c:marker val="1"/>
        <c:axId val="173385984"/>
        <c:axId val="173412352"/>
      </c:lineChart>
      <c:catAx>
        <c:axId val="173385984"/>
        <c:scaling>
          <c:orientation val="minMax"/>
        </c:scaling>
        <c:axPos val="b"/>
        <c:tickLblPos val="nextTo"/>
        <c:crossAx val="173412352"/>
        <c:crosses val="autoZero"/>
        <c:auto val="1"/>
        <c:lblAlgn val="ctr"/>
        <c:lblOffset val="100"/>
      </c:catAx>
      <c:valAx>
        <c:axId val="173412352"/>
        <c:scaling>
          <c:orientation val="minMax"/>
        </c:scaling>
        <c:axPos val="l"/>
        <c:majorGridlines/>
        <c:numFmt formatCode="General" sourceLinked="1"/>
        <c:tickLblPos val="nextTo"/>
        <c:crossAx val="1733859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0</c:v>
                </c:pt>
                <c:pt idx="1">
                  <c:v>0</c:v>
                </c:pt>
                <c:pt idx="2">
                  <c:v>0</c:v>
                </c:pt>
                <c:pt idx="3">
                  <c:v>0.44365572315882879</c:v>
                </c:pt>
                <c:pt idx="4">
                  <c:v>0.30864197530864196</c:v>
                </c:pt>
              </c:numCache>
            </c:numRef>
          </c:val>
        </c:ser>
        <c:marker val="1"/>
        <c:axId val="173422464"/>
        <c:axId val="173424000"/>
      </c:lineChart>
      <c:catAx>
        <c:axId val="173422464"/>
        <c:scaling>
          <c:orientation val="minMax"/>
        </c:scaling>
        <c:axPos val="b"/>
        <c:tickLblPos val="nextTo"/>
        <c:crossAx val="173424000"/>
        <c:crosses val="autoZero"/>
        <c:auto val="1"/>
        <c:lblAlgn val="ctr"/>
        <c:lblOffset val="100"/>
      </c:catAx>
      <c:valAx>
        <c:axId val="173424000"/>
        <c:scaling>
          <c:orientation val="minMax"/>
        </c:scaling>
        <c:axPos val="l"/>
        <c:majorGridlines/>
        <c:numFmt formatCode="General" sourceLinked="1"/>
        <c:tickLblPos val="nextTo"/>
        <c:crossAx val="1734224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2.6857654431512983</c:v>
                </c:pt>
                <c:pt idx="1">
                  <c:v>2.2311468094600624</c:v>
                </c:pt>
                <c:pt idx="2">
                  <c:v>3.5618878005342829</c:v>
                </c:pt>
                <c:pt idx="3">
                  <c:v>6.2111801242236018</c:v>
                </c:pt>
                <c:pt idx="4">
                  <c:v>6.481481481481481</c:v>
                </c:pt>
              </c:numCache>
            </c:numRef>
          </c:val>
        </c:ser>
        <c:marker val="1"/>
        <c:axId val="173471232"/>
        <c:axId val="173472768"/>
      </c:lineChart>
      <c:catAx>
        <c:axId val="173471232"/>
        <c:scaling>
          <c:orientation val="minMax"/>
        </c:scaling>
        <c:axPos val="b"/>
        <c:tickLblPos val="nextTo"/>
        <c:crossAx val="173472768"/>
        <c:crosses val="autoZero"/>
        <c:auto val="1"/>
        <c:lblAlgn val="ctr"/>
        <c:lblOffset val="100"/>
      </c:catAx>
      <c:valAx>
        <c:axId val="173472768"/>
        <c:scaling>
          <c:orientation val="minMax"/>
        </c:scaling>
        <c:axPos val="l"/>
        <c:majorGridlines/>
        <c:numFmt formatCode="General" sourceLinked="1"/>
        <c:tickLblPos val="nextTo"/>
        <c:crossAx val="1734712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Melton</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7.05</c:v>
                </c:pt>
                <c:pt idx="1">
                  <c:v>7.97</c:v>
                </c:pt>
                <c:pt idx="2">
                  <c:v>7.9</c:v>
                </c:pt>
                <c:pt idx="3">
                  <c:v>8.91</c:v>
                </c:pt>
                <c:pt idx="4">
                  <c:v>8.6999999999999993</c:v>
                </c:pt>
              </c:numCache>
            </c:numRef>
          </c:val>
        </c:ser>
        <c:marker val="1"/>
        <c:axId val="173510656"/>
        <c:axId val="173512192"/>
      </c:lineChart>
      <c:catAx>
        <c:axId val="173510656"/>
        <c:scaling>
          <c:orientation val="minMax"/>
        </c:scaling>
        <c:axPos val="b"/>
        <c:numFmt formatCode="General" sourceLinked="1"/>
        <c:tickLblPos val="nextTo"/>
        <c:crossAx val="173512192"/>
        <c:crosses val="autoZero"/>
        <c:auto val="1"/>
        <c:lblAlgn val="ctr"/>
        <c:lblOffset val="100"/>
      </c:catAx>
      <c:valAx>
        <c:axId val="173512192"/>
        <c:scaling>
          <c:orientation val="minMax"/>
        </c:scaling>
        <c:axPos val="l"/>
        <c:majorGridlines/>
        <c:numFmt formatCode="General" sourceLinked="1"/>
        <c:tickLblPos val="nextTo"/>
        <c:crossAx val="1735106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Melton</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6.9273065766116808</c:v>
                </c:pt>
                <c:pt idx="1">
                  <c:v>7.2293431498647269</c:v>
                </c:pt>
                <c:pt idx="2">
                  <c:v>7.93</c:v>
                </c:pt>
                <c:pt idx="3">
                  <c:v>7.4597736045452576</c:v>
                </c:pt>
                <c:pt idx="4">
                  <c:v>7.68</c:v>
                </c:pt>
              </c:numCache>
            </c:numRef>
          </c:val>
        </c:ser>
        <c:marker val="1"/>
        <c:axId val="173534592"/>
        <c:axId val="173618304"/>
      </c:lineChart>
      <c:catAx>
        <c:axId val="173534592"/>
        <c:scaling>
          <c:orientation val="minMax"/>
        </c:scaling>
        <c:axPos val="b"/>
        <c:numFmt formatCode="General" sourceLinked="1"/>
        <c:tickLblPos val="nextTo"/>
        <c:crossAx val="173618304"/>
        <c:crosses val="autoZero"/>
        <c:auto val="1"/>
        <c:lblAlgn val="ctr"/>
        <c:lblOffset val="100"/>
      </c:catAx>
      <c:valAx>
        <c:axId val="173618304"/>
        <c:scaling>
          <c:orientation val="minMax"/>
        </c:scaling>
        <c:axPos val="l"/>
        <c:majorGridlines/>
        <c:numFmt formatCode="General" sourceLinked="1"/>
        <c:tickLblPos val="nextTo"/>
        <c:crossAx val="1735345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Melton</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77.44</c:v>
                </c:pt>
                <c:pt idx="1">
                  <c:v>78.11</c:v>
                </c:pt>
                <c:pt idx="2">
                  <c:v>80.790000000000006</c:v>
                </c:pt>
                <c:pt idx="3">
                  <c:v>84.67</c:v>
                </c:pt>
                <c:pt idx="4">
                  <c:v>88.46</c:v>
                </c:pt>
                <c:pt idx="5">
                  <c:v>91.65</c:v>
                </c:pt>
                <c:pt idx="6">
                  <c:v>93.172023809523807</c:v>
                </c:pt>
                <c:pt idx="7">
                  <c:v>93.040046948356803</c:v>
                </c:pt>
              </c:numCache>
            </c:numRef>
          </c:val>
        </c:ser>
        <c:marker val="1"/>
        <c:axId val="173539328"/>
        <c:axId val="173540864"/>
      </c:lineChart>
      <c:catAx>
        <c:axId val="173539328"/>
        <c:scaling>
          <c:orientation val="minMax"/>
        </c:scaling>
        <c:axPos val="b"/>
        <c:numFmt formatCode="General" sourceLinked="1"/>
        <c:tickLblPos val="nextTo"/>
        <c:crossAx val="173540864"/>
        <c:crosses val="autoZero"/>
        <c:auto val="1"/>
        <c:lblAlgn val="ctr"/>
        <c:lblOffset val="100"/>
      </c:catAx>
      <c:valAx>
        <c:axId val="17354086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73539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3.1</c:v>
                </c:pt>
                <c:pt idx="1">
                  <c:v>3.2</c:v>
                </c:pt>
                <c:pt idx="2">
                  <c:v>1.73</c:v>
                </c:pt>
                <c:pt idx="3">
                  <c:v>2.7468754291992856</c:v>
                </c:pt>
                <c:pt idx="4">
                  <c:v>4.18</c:v>
                </c:pt>
                <c:pt idx="5">
                  <c:v>3.06</c:v>
                </c:pt>
                <c:pt idx="6">
                  <c:v>2.52</c:v>
                </c:pt>
              </c:numCache>
            </c:numRef>
          </c:val>
        </c:ser>
        <c:marker val="1"/>
        <c:axId val="173584384"/>
        <c:axId val="173585920"/>
      </c:lineChart>
      <c:catAx>
        <c:axId val="173584384"/>
        <c:scaling>
          <c:orientation val="minMax"/>
        </c:scaling>
        <c:axPos val="b"/>
        <c:tickLblPos val="nextTo"/>
        <c:crossAx val="173585920"/>
        <c:crosses val="autoZero"/>
        <c:auto val="1"/>
        <c:lblAlgn val="ctr"/>
        <c:lblOffset val="100"/>
      </c:catAx>
      <c:valAx>
        <c:axId val="173585920"/>
        <c:scaling>
          <c:orientation val="minMax"/>
        </c:scaling>
        <c:axPos val="l"/>
        <c:majorGridlines/>
        <c:numFmt formatCode="General" sourceLinked="1"/>
        <c:tickLblPos val="nextTo"/>
        <c:crossAx val="173584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1.6</c:v>
                </c:pt>
                <c:pt idx="1">
                  <c:v>1.4</c:v>
                </c:pt>
                <c:pt idx="2">
                  <c:v>1.0900000000000001</c:v>
                </c:pt>
                <c:pt idx="3">
                  <c:v>0.77828137160646427</c:v>
                </c:pt>
                <c:pt idx="4">
                  <c:v>1.23</c:v>
                </c:pt>
                <c:pt idx="5">
                  <c:v>0.76</c:v>
                </c:pt>
                <c:pt idx="6">
                  <c:v>1.53</c:v>
                </c:pt>
              </c:numCache>
            </c:numRef>
          </c:val>
        </c:ser>
        <c:marker val="1"/>
        <c:axId val="173743488"/>
        <c:axId val="173761664"/>
      </c:lineChart>
      <c:catAx>
        <c:axId val="173743488"/>
        <c:scaling>
          <c:orientation val="minMax"/>
        </c:scaling>
        <c:axPos val="b"/>
        <c:tickLblPos val="nextTo"/>
        <c:crossAx val="173761664"/>
        <c:crosses val="autoZero"/>
        <c:auto val="1"/>
        <c:lblAlgn val="ctr"/>
        <c:lblOffset val="100"/>
      </c:catAx>
      <c:valAx>
        <c:axId val="173761664"/>
        <c:scaling>
          <c:orientation val="minMax"/>
        </c:scaling>
        <c:axPos val="l"/>
        <c:majorGridlines/>
        <c:numFmt formatCode="General" sourceLinked="1"/>
        <c:tickLblPos val="nextTo"/>
        <c:crossAx val="1737434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0</c:v>
                </c:pt>
                <c:pt idx="1">
                  <c:v>0</c:v>
                </c:pt>
                <c:pt idx="2">
                  <c:v>0</c:v>
                </c:pt>
                <c:pt idx="3">
                  <c:v>0</c:v>
                </c:pt>
                <c:pt idx="4">
                  <c:v>0</c:v>
                </c:pt>
                <c:pt idx="5">
                  <c:v>0</c:v>
                </c:pt>
                <c:pt idx="6">
                  <c:v>1.7636684303350967</c:v>
                </c:pt>
                <c:pt idx="7">
                  <c:v>0</c:v>
                </c:pt>
              </c:numCache>
            </c:numRef>
          </c:val>
        </c:ser>
        <c:marker val="1"/>
        <c:axId val="139266688"/>
        <c:axId val="139276672"/>
      </c:lineChart>
      <c:catAx>
        <c:axId val="139266688"/>
        <c:scaling>
          <c:orientation val="minMax"/>
        </c:scaling>
        <c:axPos val="b"/>
        <c:tickLblPos val="nextTo"/>
        <c:crossAx val="139276672"/>
        <c:crosses val="autoZero"/>
        <c:auto val="1"/>
        <c:lblAlgn val="ctr"/>
        <c:lblOffset val="100"/>
      </c:catAx>
      <c:valAx>
        <c:axId val="139276672"/>
        <c:scaling>
          <c:orientation val="minMax"/>
        </c:scaling>
        <c:axPos val="l"/>
        <c:majorGridlines/>
        <c:numFmt formatCode="General" sourceLinked="1"/>
        <c:tickLblPos val="nextTo"/>
        <c:crossAx val="1392666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1.3630168105406633</c:v>
                </c:pt>
                <c:pt idx="1">
                  <c:v>0</c:v>
                </c:pt>
                <c:pt idx="2">
                  <c:v>0</c:v>
                </c:pt>
                <c:pt idx="3">
                  <c:v>0</c:v>
                </c:pt>
                <c:pt idx="4">
                  <c:v>0</c:v>
                </c:pt>
                <c:pt idx="5">
                  <c:v>0</c:v>
                </c:pt>
                <c:pt idx="6">
                  <c:v>0</c:v>
                </c:pt>
                <c:pt idx="7">
                  <c:v>0</c:v>
                </c:pt>
              </c:numCache>
            </c:numRef>
          </c:val>
        </c:ser>
        <c:marker val="1"/>
        <c:axId val="139307264"/>
        <c:axId val="139325440"/>
      </c:lineChart>
      <c:catAx>
        <c:axId val="139307264"/>
        <c:scaling>
          <c:orientation val="minMax"/>
        </c:scaling>
        <c:axPos val="b"/>
        <c:tickLblPos val="nextTo"/>
        <c:crossAx val="139325440"/>
        <c:crosses val="autoZero"/>
        <c:auto val="1"/>
        <c:lblAlgn val="ctr"/>
        <c:lblOffset val="100"/>
      </c:catAx>
      <c:valAx>
        <c:axId val="139325440"/>
        <c:scaling>
          <c:orientation val="minMax"/>
        </c:scaling>
        <c:axPos val="l"/>
        <c:majorGridlines/>
        <c:numFmt formatCode="General" sourceLinked="1"/>
        <c:tickLblPos val="nextTo"/>
        <c:crossAx val="13930726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4.9977283053157668</c:v>
                </c:pt>
                <c:pt idx="1">
                  <c:v>4.9571879224876065</c:v>
                </c:pt>
                <c:pt idx="2">
                  <c:v>3.5810205908683979</c:v>
                </c:pt>
                <c:pt idx="3">
                  <c:v>1.78491744756805</c:v>
                </c:pt>
                <c:pt idx="4">
                  <c:v>2.2261798753339272</c:v>
                </c:pt>
                <c:pt idx="5">
                  <c:v>4.4365572315882877</c:v>
                </c:pt>
                <c:pt idx="6">
                  <c:v>5.2910052910052903</c:v>
                </c:pt>
                <c:pt idx="7">
                  <c:v>5.7319223985890666</c:v>
                </c:pt>
              </c:numCache>
            </c:numRef>
          </c:val>
        </c:ser>
        <c:marker val="1"/>
        <c:axId val="173049728"/>
        <c:axId val="173051264"/>
      </c:lineChart>
      <c:catAx>
        <c:axId val="173049728"/>
        <c:scaling>
          <c:orientation val="minMax"/>
        </c:scaling>
        <c:axPos val="b"/>
        <c:tickLblPos val="nextTo"/>
        <c:crossAx val="173051264"/>
        <c:crosses val="autoZero"/>
        <c:auto val="1"/>
        <c:lblAlgn val="ctr"/>
        <c:lblOffset val="100"/>
      </c:catAx>
      <c:valAx>
        <c:axId val="173051264"/>
        <c:scaling>
          <c:orientation val="minMax"/>
        </c:scaling>
        <c:axPos val="l"/>
        <c:majorGridlines/>
        <c:numFmt formatCode="General" sourceLinked="1"/>
        <c:tickLblPos val="nextTo"/>
        <c:crossAx val="173049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7.7237619263970911</c:v>
                </c:pt>
                <c:pt idx="1">
                  <c:v>6.3091482649842279</c:v>
                </c:pt>
                <c:pt idx="2">
                  <c:v>4.0286481647269472</c:v>
                </c:pt>
                <c:pt idx="3">
                  <c:v>2.6773761713520754</c:v>
                </c:pt>
                <c:pt idx="4">
                  <c:v>3.116651825467498</c:v>
                </c:pt>
                <c:pt idx="5">
                  <c:v>3.1055900621118013</c:v>
                </c:pt>
                <c:pt idx="6">
                  <c:v>3.9682539682539679</c:v>
                </c:pt>
                <c:pt idx="7">
                  <c:v>3.5273368606701947</c:v>
                </c:pt>
              </c:numCache>
            </c:numRef>
          </c:val>
        </c:ser>
        <c:marker val="1"/>
        <c:axId val="173082112"/>
        <c:axId val="173083648"/>
      </c:lineChart>
      <c:catAx>
        <c:axId val="173082112"/>
        <c:scaling>
          <c:orientation val="minMax"/>
        </c:scaling>
        <c:axPos val="b"/>
        <c:tickLblPos val="nextTo"/>
        <c:crossAx val="173083648"/>
        <c:crosses val="autoZero"/>
        <c:auto val="1"/>
        <c:lblAlgn val="ctr"/>
        <c:lblOffset val="100"/>
      </c:catAx>
      <c:valAx>
        <c:axId val="173083648"/>
        <c:scaling>
          <c:orientation val="minMax"/>
        </c:scaling>
        <c:axPos val="l"/>
        <c:majorGridlines/>
        <c:numFmt formatCode="General" sourceLinked="1"/>
        <c:tickLblPos val="nextTo"/>
        <c:crossAx val="1730821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0</c:v>
                </c:pt>
                <c:pt idx="1">
                  <c:v>0</c:v>
                </c:pt>
                <c:pt idx="2">
                  <c:v>0</c:v>
                </c:pt>
                <c:pt idx="3">
                  <c:v>0</c:v>
                </c:pt>
                <c:pt idx="4">
                  <c:v>0</c:v>
                </c:pt>
                <c:pt idx="5">
                  <c:v>0</c:v>
                </c:pt>
                <c:pt idx="6">
                  <c:v>0</c:v>
                </c:pt>
                <c:pt idx="7">
                  <c:v>0.88183421516754845</c:v>
                </c:pt>
              </c:numCache>
            </c:numRef>
          </c:val>
        </c:ser>
        <c:marker val="1"/>
        <c:axId val="173130880"/>
        <c:axId val="173132416"/>
      </c:lineChart>
      <c:catAx>
        <c:axId val="173130880"/>
        <c:scaling>
          <c:orientation val="minMax"/>
        </c:scaling>
        <c:axPos val="b"/>
        <c:tickLblPos val="nextTo"/>
        <c:crossAx val="173132416"/>
        <c:crosses val="autoZero"/>
        <c:auto val="1"/>
        <c:lblAlgn val="ctr"/>
        <c:lblOffset val="100"/>
      </c:catAx>
      <c:valAx>
        <c:axId val="173132416"/>
        <c:scaling>
          <c:orientation val="minMax"/>
        </c:scaling>
        <c:axPos val="l"/>
        <c:majorGridlines/>
        <c:numFmt formatCode="General" sourceLinked="1"/>
        <c:tickLblPos val="nextTo"/>
        <c:crossAx val="173130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0.45433893684688781</c:v>
                </c:pt>
                <c:pt idx="1">
                  <c:v>0</c:v>
                </c:pt>
                <c:pt idx="2">
                  <c:v>0</c:v>
                </c:pt>
                <c:pt idx="3">
                  <c:v>0</c:v>
                </c:pt>
                <c:pt idx="4">
                  <c:v>0</c:v>
                </c:pt>
                <c:pt idx="5">
                  <c:v>0</c:v>
                </c:pt>
                <c:pt idx="6">
                  <c:v>0.44091710758377428</c:v>
                </c:pt>
                <c:pt idx="7">
                  <c:v>0</c:v>
                </c:pt>
              </c:numCache>
            </c:numRef>
          </c:val>
        </c:ser>
        <c:marker val="1"/>
        <c:axId val="173183744"/>
        <c:axId val="173185280"/>
      </c:lineChart>
      <c:catAx>
        <c:axId val="173183744"/>
        <c:scaling>
          <c:orientation val="minMax"/>
        </c:scaling>
        <c:axPos val="b"/>
        <c:tickLblPos val="nextTo"/>
        <c:crossAx val="173185280"/>
        <c:crosses val="autoZero"/>
        <c:auto val="1"/>
        <c:lblAlgn val="ctr"/>
        <c:lblOffset val="100"/>
      </c:catAx>
      <c:valAx>
        <c:axId val="173185280"/>
        <c:scaling>
          <c:orientation val="minMax"/>
        </c:scaling>
        <c:axPos val="l"/>
        <c:majorGridlines/>
        <c:numFmt formatCode="General" sourceLinked="1"/>
        <c:tickLblPos val="nextTo"/>
        <c:crossAx val="1731837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8.17810086324398</c:v>
                </c:pt>
                <c:pt idx="1">
                  <c:v>6.3091482649842279</c:v>
                </c:pt>
                <c:pt idx="2">
                  <c:v>4.0286481647269472</c:v>
                </c:pt>
                <c:pt idx="3">
                  <c:v>2.6773761713520754</c:v>
                </c:pt>
                <c:pt idx="4">
                  <c:v>3.116651825467498</c:v>
                </c:pt>
                <c:pt idx="5">
                  <c:v>3.1055900621118013</c:v>
                </c:pt>
                <c:pt idx="6">
                  <c:v>4.409171075837742</c:v>
                </c:pt>
                <c:pt idx="7">
                  <c:v>4.409171075837742</c:v>
                </c:pt>
              </c:numCache>
            </c:numRef>
          </c:val>
        </c:ser>
        <c:marker val="1"/>
        <c:axId val="173216128"/>
        <c:axId val="173217664"/>
      </c:lineChart>
      <c:catAx>
        <c:axId val="173216128"/>
        <c:scaling>
          <c:orientation val="minMax"/>
        </c:scaling>
        <c:axPos val="b"/>
        <c:tickLblPos val="nextTo"/>
        <c:crossAx val="173217664"/>
        <c:crosses val="autoZero"/>
        <c:auto val="1"/>
        <c:lblAlgn val="ctr"/>
        <c:lblOffset val="100"/>
      </c:catAx>
      <c:valAx>
        <c:axId val="173217664"/>
        <c:scaling>
          <c:orientation val="minMax"/>
        </c:scaling>
        <c:axPos val="l"/>
        <c:majorGridlines/>
        <c:numFmt formatCode="General" sourceLinked="1"/>
        <c:tickLblPos val="nextTo"/>
        <c:crossAx val="173216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Melton</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2.6857654431512983</c:v>
                </c:pt>
                <c:pt idx="1">
                  <c:v>1.3386880856760375</c:v>
                </c:pt>
                <c:pt idx="2">
                  <c:v>2.6714158504007126</c:v>
                </c:pt>
                <c:pt idx="3">
                  <c:v>5.3238686779059448</c:v>
                </c:pt>
                <c:pt idx="4">
                  <c:v>6.0405643738977073</c:v>
                </c:pt>
              </c:numCache>
            </c:numRef>
          </c:val>
        </c:ser>
        <c:marker val="1"/>
        <c:axId val="173252608"/>
        <c:axId val="173254144"/>
      </c:lineChart>
      <c:catAx>
        <c:axId val="173252608"/>
        <c:scaling>
          <c:orientation val="minMax"/>
        </c:scaling>
        <c:axPos val="b"/>
        <c:tickLblPos val="nextTo"/>
        <c:crossAx val="173254144"/>
        <c:crosses val="autoZero"/>
        <c:auto val="1"/>
        <c:lblAlgn val="ctr"/>
        <c:lblOffset val="100"/>
      </c:catAx>
      <c:valAx>
        <c:axId val="173254144"/>
        <c:scaling>
          <c:orientation val="minMax"/>
        </c:scaling>
        <c:axPos val="l"/>
        <c:majorGridlines/>
        <c:numFmt formatCode="General" sourceLinked="1"/>
        <c:tickLblPos val="nextTo"/>
        <c:crossAx val="17325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430306-7520-40DF-AD14-E58E2B297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2018-04-27T15:33:00Z</dcterms:created>
  <dcterms:modified xsi:type="dcterms:W3CDTF">2018-05-04T11:12:00Z</dcterms:modified>
</cp:coreProperties>
</file>