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E6C10">
      <w:r w:rsidRPr="003E6C10">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D500D0" w:rsidRDefault="002746A9" w:rsidP="004D3814">
                  <w:pPr>
                    <w:jc w:val="right"/>
                    <w:rPr>
                      <w:rFonts w:ascii="Segoe UI" w:hAnsi="Segoe UI" w:cs="Segoe UI"/>
                      <w:b/>
                      <w:sz w:val="56"/>
                      <w:szCs w:val="72"/>
                      <w:u w:val="single"/>
                    </w:rPr>
                  </w:pPr>
                  <w:r w:rsidRPr="00D500D0">
                    <w:rPr>
                      <w:rFonts w:ascii="Segoe UI" w:hAnsi="Segoe UI" w:cs="Segoe UI"/>
                      <w:b/>
                      <w:sz w:val="56"/>
                      <w:szCs w:val="72"/>
                      <w:u w:val="single"/>
                    </w:rPr>
                    <w:t>New</w:t>
                  </w:r>
                  <w:r w:rsidR="00D500D0" w:rsidRPr="00D500D0">
                    <w:rPr>
                      <w:rFonts w:ascii="Segoe UI" w:hAnsi="Segoe UI" w:cs="Segoe UI"/>
                      <w:b/>
                      <w:sz w:val="56"/>
                      <w:szCs w:val="72"/>
                      <w:u w:val="single"/>
                    </w:rPr>
                    <w:t>ark &amp; Sherwood</w:t>
                  </w:r>
                  <w:r w:rsidR="002A2D7E" w:rsidRPr="00D500D0">
                    <w:rPr>
                      <w:rFonts w:ascii="Segoe UI" w:hAnsi="Segoe UI" w:cs="Segoe UI"/>
                      <w:b/>
                      <w:sz w:val="56"/>
                      <w:szCs w:val="72"/>
                      <w:u w:val="single"/>
                    </w:rPr>
                    <w:t xml:space="preserve"> </w:t>
                  </w:r>
                  <w:r w:rsidR="009579D3" w:rsidRPr="00D500D0">
                    <w:rPr>
                      <w:rFonts w:ascii="Segoe UI" w:hAnsi="Segoe UI" w:cs="Segoe UI"/>
                      <w:b/>
                      <w:sz w:val="56"/>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3E6C10"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3E6C10"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3E6C10"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3E6C10"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3E6C10"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2746A9">
      <w:pPr>
        <w:rPr>
          <w:rFonts w:ascii="Segoe UI" w:hAnsi="Segoe UI" w:cs="Segoe UI"/>
        </w:rPr>
      </w:pPr>
      <w:r>
        <w:rPr>
          <w:rFonts w:ascii="Segoe UI" w:hAnsi="Segoe UI" w:cs="Segoe UI"/>
        </w:rPr>
        <w:t>New</w:t>
      </w:r>
      <w:r w:rsidR="00D500D0">
        <w:rPr>
          <w:rFonts w:ascii="Segoe UI" w:hAnsi="Segoe UI" w:cs="Segoe UI"/>
        </w:rPr>
        <w:t>ark &amp; Sherwood</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D500D0">
        <w:rPr>
          <w:rFonts w:ascii="Segoe UI" w:hAnsi="Segoe UI" w:cs="Segoe UI"/>
        </w:rPr>
        <w:t>44</w:t>
      </w:r>
      <w:r w:rsidR="005D1AC4">
        <w:rPr>
          <w:rFonts w:ascii="Segoe UI" w:hAnsi="Segoe UI" w:cs="Segoe UI"/>
        </w:rPr>
        <w:t>0</w:t>
      </w:r>
      <w:r w:rsidR="00FA4ACC">
        <w:rPr>
          <w:rFonts w:ascii="Segoe UI" w:hAnsi="Segoe UI" w:cs="Segoe UI"/>
        </w:rPr>
        <w:t xml:space="preserve">, made up of </w:t>
      </w:r>
      <w:r w:rsidR="00D500D0">
        <w:rPr>
          <w:rFonts w:ascii="Segoe UI" w:hAnsi="Segoe UI" w:cs="Segoe UI"/>
        </w:rPr>
        <w:t>37</w:t>
      </w:r>
      <w:r w:rsidR="00FA4ACC">
        <w:rPr>
          <w:rFonts w:ascii="Segoe UI" w:hAnsi="Segoe UI" w:cs="Segoe UI"/>
        </w:rPr>
        <w:t>0 private enterprise builds</w:t>
      </w:r>
      <w:r w:rsidR="00D500D0">
        <w:rPr>
          <w:rFonts w:ascii="Segoe UI" w:hAnsi="Segoe UI" w:cs="Segoe UI"/>
        </w:rPr>
        <w:t>, 7</w:t>
      </w:r>
      <w:r w:rsidR="00476555">
        <w:rPr>
          <w:rFonts w:ascii="Segoe UI" w:hAnsi="Segoe UI" w:cs="Segoe UI"/>
        </w:rPr>
        <w:t>0 housing association builds</w:t>
      </w:r>
      <w:r w:rsidR="00D500D0">
        <w:rPr>
          <w:rFonts w:ascii="Segoe UI" w:hAnsi="Segoe UI" w:cs="Segoe UI"/>
        </w:rPr>
        <w:t xml:space="preserve"> and 10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D500D0">
        <w:rPr>
          <w:rFonts w:ascii="Segoe UI" w:hAnsi="Segoe UI" w:cs="Segoe UI"/>
        </w:rPr>
        <w:t>52,720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282651">
        <w:rPr>
          <w:rFonts w:ascii="Segoe UI" w:hAnsi="Segoe UI" w:cs="Segoe UI"/>
        </w:rPr>
        <w:t>Newark &amp; Sherwood</w:t>
      </w:r>
      <w:r w:rsidR="002651E1">
        <w:rPr>
          <w:rFonts w:ascii="Segoe UI" w:hAnsi="Segoe UI" w:cs="Segoe UI"/>
        </w:rPr>
        <w:t xml:space="preserve"> </w:t>
      </w:r>
      <w:r w:rsidR="00465750">
        <w:rPr>
          <w:rFonts w:ascii="Segoe UI" w:hAnsi="Segoe UI" w:cs="Segoe UI"/>
        </w:rPr>
        <w:t xml:space="preserve">had net additions of </w:t>
      </w:r>
      <w:r w:rsidR="00282651">
        <w:rPr>
          <w:rFonts w:ascii="Segoe UI" w:hAnsi="Segoe UI" w:cs="Segoe UI"/>
        </w:rPr>
        <w:t>571</w:t>
      </w:r>
      <w:r w:rsidR="004A44E1">
        <w:rPr>
          <w:rFonts w:ascii="Segoe UI" w:hAnsi="Segoe UI" w:cs="Segoe UI"/>
        </w:rPr>
        <w:t xml:space="preserve"> dwellings</w:t>
      </w:r>
      <w:r w:rsidR="00465750">
        <w:rPr>
          <w:rFonts w:ascii="Segoe UI" w:hAnsi="Segoe UI" w:cs="Segoe UI"/>
        </w:rPr>
        <w:t xml:space="preserve"> comprised of </w:t>
      </w:r>
      <w:r w:rsidR="00282651">
        <w:rPr>
          <w:rFonts w:ascii="Segoe UI" w:hAnsi="Segoe UI" w:cs="Segoe UI"/>
        </w:rPr>
        <w:t>543</w:t>
      </w:r>
      <w:r w:rsidR="00465750">
        <w:rPr>
          <w:rFonts w:ascii="Segoe UI" w:hAnsi="Segoe UI" w:cs="Segoe UI"/>
        </w:rPr>
        <w:t xml:space="preserve"> new builds, </w:t>
      </w:r>
      <w:r w:rsidR="00282651">
        <w:rPr>
          <w:rFonts w:ascii="Segoe UI" w:hAnsi="Segoe UI" w:cs="Segoe UI"/>
        </w:rPr>
        <w:t>-3</w:t>
      </w:r>
      <w:r w:rsidR="00465750">
        <w:rPr>
          <w:rFonts w:ascii="Segoe UI" w:hAnsi="Segoe UI" w:cs="Segoe UI"/>
        </w:rPr>
        <w:t xml:space="preserve"> conversations, </w:t>
      </w:r>
      <w:r w:rsidR="00282651">
        <w:rPr>
          <w:rFonts w:ascii="Segoe UI" w:hAnsi="Segoe UI" w:cs="Segoe UI"/>
        </w:rPr>
        <w:t>41</w:t>
      </w:r>
      <w:r w:rsidR="00465750">
        <w:rPr>
          <w:rFonts w:ascii="Segoe UI" w:hAnsi="Segoe UI" w:cs="Segoe UI"/>
        </w:rPr>
        <w:t xml:space="preserve"> change of use, and </w:t>
      </w:r>
      <w:r w:rsidR="00282651">
        <w:rPr>
          <w:rFonts w:ascii="Segoe UI" w:hAnsi="Segoe UI" w:cs="Segoe UI"/>
        </w:rPr>
        <w:t>10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282651">
        <w:rPr>
          <w:rFonts w:ascii="Segoe UI" w:hAnsi="Segoe UI" w:cs="Segoe UI"/>
        </w:rPr>
        <w:t>Newark &amp; Sherwood</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282651">
        <w:rPr>
          <w:rFonts w:ascii="Segoe UI" w:hAnsi="Segoe UI" w:cs="Segoe UI"/>
        </w:rPr>
        <w:t>2.0</w:t>
      </w:r>
      <w:r>
        <w:rPr>
          <w:rFonts w:ascii="Segoe UI" w:hAnsi="Segoe UI" w:cs="Segoe UI"/>
        </w:rPr>
        <w:t>, the number of households accommodated in temporary accommodat</w:t>
      </w:r>
      <w:r w:rsidR="00282651">
        <w:rPr>
          <w:rFonts w:ascii="Segoe UI" w:hAnsi="Segoe UI" w:cs="Segoe UI"/>
        </w:rPr>
        <w:t>ion per 1,000 households was 0.2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6A9"/>
    <w:rsid w:val="00274ED9"/>
    <w:rsid w:val="00282651"/>
    <w:rsid w:val="00295A64"/>
    <w:rsid w:val="002A2D7E"/>
    <w:rsid w:val="002B39D0"/>
    <w:rsid w:val="002B3CB9"/>
    <w:rsid w:val="002C1B27"/>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3E6C10"/>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16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1.7769002961500495</c:v>
                </c:pt>
                <c:pt idx="1">
                  <c:v>3.9261876717707112</c:v>
                </c:pt>
                <c:pt idx="2">
                  <c:v>4.8799531524497368</c:v>
                </c:pt>
                <c:pt idx="3">
                  <c:v>2.9069767441860468</c:v>
                </c:pt>
                <c:pt idx="4">
                  <c:v>6.3620589936379401</c:v>
                </c:pt>
                <c:pt idx="5">
                  <c:v>4.5862793808522841</c:v>
                </c:pt>
                <c:pt idx="6">
                  <c:v>7.9666160849772387</c:v>
                </c:pt>
                <c:pt idx="7">
                  <c:v>5.3110773899848276</c:v>
                </c:pt>
              </c:numCache>
            </c:numRef>
          </c:val>
        </c:ser>
        <c:marker val="1"/>
        <c:axId val="149199488"/>
        <c:axId val="149254528"/>
      </c:lineChart>
      <c:catAx>
        <c:axId val="149199488"/>
        <c:scaling>
          <c:orientation val="minMax"/>
        </c:scaling>
        <c:axPos val="b"/>
        <c:tickLblPos val="nextTo"/>
        <c:txPr>
          <a:bodyPr/>
          <a:lstStyle/>
          <a:p>
            <a:pPr>
              <a:defRPr sz="1000"/>
            </a:pPr>
            <a:endParaRPr lang="en-US"/>
          </a:p>
        </c:txPr>
        <c:crossAx val="149254528"/>
        <c:crosses val="autoZero"/>
        <c:auto val="1"/>
        <c:lblAlgn val="ctr"/>
        <c:lblOffset val="100"/>
      </c:catAx>
      <c:valAx>
        <c:axId val="149254528"/>
        <c:scaling>
          <c:orientation val="minMax"/>
        </c:scaling>
        <c:axPos val="l"/>
        <c:majorGridlines/>
        <c:numFmt formatCode="General" sourceLinked="1"/>
        <c:tickLblPos val="nextTo"/>
        <c:crossAx val="149199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0.19519812609798948</c:v>
                </c:pt>
                <c:pt idx="1">
                  <c:v>0</c:v>
                </c:pt>
                <c:pt idx="2">
                  <c:v>0.578368999421631</c:v>
                </c:pt>
                <c:pt idx="3">
                  <c:v>0.19109497420217847</c:v>
                </c:pt>
                <c:pt idx="4">
                  <c:v>-5.6904400606980279E-2</c:v>
                </c:pt>
              </c:numCache>
            </c:numRef>
          </c:val>
        </c:ser>
        <c:marker val="1"/>
        <c:axId val="177028096"/>
        <c:axId val="177042176"/>
      </c:lineChart>
      <c:catAx>
        <c:axId val="177028096"/>
        <c:scaling>
          <c:orientation val="minMax"/>
        </c:scaling>
        <c:axPos val="b"/>
        <c:tickLblPos val="nextTo"/>
        <c:crossAx val="177042176"/>
        <c:crosses val="autoZero"/>
        <c:auto val="1"/>
        <c:lblAlgn val="ctr"/>
        <c:lblOffset val="100"/>
      </c:catAx>
      <c:valAx>
        <c:axId val="177042176"/>
        <c:scaling>
          <c:orientation val="minMax"/>
        </c:scaling>
        <c:axPos val="l"/>
        <c:majorGridlines/>
        <c:numFmt formatCode="General" sourceLinked="1"/>
        <c:tickLblPos val="nextTo"/>
        <c:crossAx val="17702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0.78079250439195791</c:v>
                </c:pt>
                <c:pt idx="1">
                  <c:v>0.19379844961240311</c:v>
                </c:pt>
                <c:pt idx="2">
                  <c:v>0.96394833236938504</c:v>
                </c:pt>
                <c:pt idx="3">
                  <c:v>1.1465698452130708</c:v>
                </c:pt>
                <c:pt idx="4">
                  <c:v>0.77769347496206365</c:v>
                </c:pt>
              </c:numCache>
            </c:numRef>
          </c:val>
        </c:ser>
        <c:marker val="1"/>
        <c:axId val="177080960"/>
        <c:axId val="177103232"/>
      </c:lineChart>
      <c:catAx>
        <c:axId val="177080960"/>
        <c:scaling>
          <c:orientation val="minMax"/>
        </c:scaling>
        <c:axPos val="b"/>
        <c:tickLblPos val="nextTo"/>
        <c:crossAx val="177103232"/>
        <c:crosses val="autoZero"/>
        <c:auto val="1"/>
        <c:lblAlgn val="ctr"/>
        <c:lblOffset val="100"/>
      </c:catAx>
      <c:valAx>
        <c:axId val="177103232"/>
        <c:scaling>
          <c:orientation val="minMax"/>
        </c:scaling>
        <c:axPos val="l"/>
        <c:majorGridlines/>
        <c:numFmt formatCode="General" sourceLinked="1"/>
        <c:tickLblPos val="nextTo"/>
        <c:crossAx val="177080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0.19278966647387699</c:v>
                </c:pt>
                <c:pt idx="3">
                  <c:v>0</c:v>
                </c:pt>
                <c:pt idx="4">
                  <c:v>0</c:v>
                </c:pt>
              </c:numCache>
            </c:numRef>
          </c:val>
        </c:ser>
        <c:marker val="1"/>
        <c:axId val="177125632"/>
        <c:axId val="177147904"/>
      </c:lineChart>
      <c:catAx>
        <c:axId val="177125632"/>
        <c:scaling>
          <c:orientation val="minMax"/>
        </c:scaling>
        <c:axPos val="b"/>
        <c:tickLblPos val="nextTo"/>
        <c:crossAx val="177147904"/>
        <c:crosses val="autoZero"/>
        <c:auto val="1"/>
        <c:lblAlgn val="ctr"/>
        <c:lblOffset val="100"/>
      </c:catAx>
      <c:valAx>
        <c:axId val="177147904"/>
        <c:scaling>
          <c:orientation val="minMax"/>
        </c:scaling>
        <c:axPos val="l"/>
        <c:majorGridlines/>
        <c:numFmt formatCode="General" sourceLinked="1"/>
        <c:tickLblPos val="nextTo"/>
        <c:crossAx val="177125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0.19278966647387699</c:v>
                </c:pt>
                <c:pt idx="3">
                  <c:v>0.57328492260653541</c:v>
                </c:pt>
                <c:pt idx="4">
                  <c:v>0.18968133535660092</c:v>
                </c:pt>
              </c:numCache>
            </c:numRef>
          </c:val>
        </c:ser>
        <c:marker val="1"/>
        <c:axId val="177162112"/>
        <c:axId val="177163648"/>
      </c:lineChart>
      <c:catAx>
        <c:axId val="177162112"/>
        <c:scaling>
          <c:orientation val="minMax"/>
        </c:scaling>
        <c:axPos val="b"/>
        <c:tickLblPos val="nextTo"/>
        <c:crossAx val="177163648"/>
        <c:crosses val="autoZero"/>
        <c:auto val="1"/>
        <c:lblAlgn val="ctr"/>
        <c:lblOffset val="100"/>
      </c:catAx>
      <c:valAx>
        <c:axId val="177163648"/>
        <c:scaling>
          <c:orientation val="minMax"/>
        </c:scaling>
        <c:axPos val="l"/>
        <c:majorGridlines/>
        <c:numFmt formatCode="General" sourceLinked="1"/>
        <c:tickLblPos val="nextTo"/>
        <c:crossAx val="177162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7.2223306656256101</c:v>
                </c:pt>
                <c:pt idx="1">
                  <c:v>5.2325581395348832</c:v>
                </c:pt>
                <c:pt idx="2">
                  <c:v>8.8683246577983414</c:v>
                </c:pt>
                <c:pt idx="3">
                  <c:v>7.6437989680871397</c:v>
                </c:pt>
                <c:pt idx="4">
                  <c:v>10.830804248861911</c:v>
                </c:pt>
              </c:numCache>
            </c:numRef>
          </c:val>
        </c:ser>
        <c:marker val="1"/>
        <c:axId val="177210880"/>
        <c:axId val="177212416"/>
      </c:lineChart>
      <c:catAx>
        <c:axId val="177210880"/>
        <c:scaling>
          <c:orientation val="minMax"/>
        </c:scaling>
        <c:axPos val="b"/>
        <c:tickLblPos val="nextTo"/>
        <c:crossAx val="177212416"/>
        <c:crosses val="autoZero"/>
        <c:auto val="1"/>
        <c:lblAlgn val="ctr"/>
        <c:lblOffset val="100"/>
      </c:catAx>
      <c:valAx>
        <c:axId val="177212416"/>
        <c:scaling>
          <c:orientation val="minMax"/>
        </c:scaling>
        <c:axPos val="l"/>
        <c:majorGridlines/>
        <c:numFmt formatCode="General" sourceLinked="1"/>
        <c:tickLblPos val="nextTo"/>
        <c:crossAx val="177210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Newark and Sherwood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5.59</c:v>
                </c:pt>
                <c:pt idx="1">
                  <c:v>5.72</c:v>
                </c:pt>
                <c:pt idx="2">
                  <c:v>5.9</c:v>
                </c:pt>
                <c:pt idx="3">
                  <c:v>6.38</c:v>
                </c:pt>
                <c:pt idx="4">
                  <c:v>6.43</c:v>
                </c:pt>
              </c:numCache>
            </c:numRef>
          </c:val>
        </c:ser>
        <c:marker val="1"/>
        <c:axId val="177250304"/>
        <c:axId val="177251840"/>
      </c:lineChart>
      <c:catAx>
        <c:axId val="177250304"/>
        <c:scaling>
          <c:orientation val="minMax"/>
        </c:scaling>
        <c:axPos val="b"/>
        <c:numFmt formatCode="General" sourceLinked="1"/>
        <c:tickLblPos val="nextTo"/>
        <c:crossAx val="177251840"/>
        <c:crosses val="autoZero"/>
        <c:auto val="1"/>
        <c:lblAlgn val="ctr"/>
        <c:lblOffset val="100"/>
      </c:catAx>
      <c:valAx>
        <c:axId val="177251840"/>
        <c:scaling>
          <c:orientation val="minMax"/>
        </c:scaling>
        <c:axPos val="l"/>
        <c:majorGridlines/>
        <c:numFmt formatCode="General" sourceLinked="1"/>
        <c:tickLblPos val="nextTo"/>
        <c:crossAx val="177250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Newark and Sherwood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6.3526635810872127</c:v>
                </c:pt>
                <c:pt idx="1">
                  <c:v>6.1458558753516552</c:v>
                </c:pt>
                <c:pt idx="2">
                  <c:v>6.49</c:v>
                </c:pt>
                <c:pt idx="3">
                  <c:v>6.71</c:v>
                </c:pt>
                <c:pt idx="4">
                  <c:v>6.64</c:v>
                </c:pt>
              </c:numCache>
            </c:numRef>
          </c:val>
        </c:ser>
        <c:marker val="1"/>
        <c:axId val="177274240"/>
        <c:axId val="177357952"/>
      </c:lineChart>
      <c:catAx>
        <c:axId val="177274240"/>
        <c:scaling>
          <c:orientation val="minMax"/>
        </c:scaling>
        <c:axPos val="b"/>
        <c:numFmt formatCode="General" sourceLinked="1"/>
        <c:tickLblPos val="nextTo"/>
        <c:crossAx val="177357952"/>
        <c:crosses val="autoZero"/>
        <c:auto val="1"/>
        <c:lblAlgn val="ctr"/>
        <c:lblOffset val="100"/>
      </c:catAx>
      <c:valAx>
        <c:axId val="177357952"/>
        <c:scaling>
          <c:orientation val="minMax"/>
        </c:scaling>
        <c:axPos val="l"/>
        <c:majorGridlines/>
        <c:numFmt formatCode="General" sourceLinked="1"/>
        <c:tickLblPos val="nextTo"/>
        <c:crossAx val="177274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Newark and Sherwood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74.66</c:v>
                </c:pt>
                <c:pt idx="1">
                  <c:v>74.06</c:v>
                </c:pt>
                <c:pt idx="2">
                  <c:v>77.44</c:v>
                </c:pt>
                <c:pt idx="3">
                  <c:v>81.47</c:v>
                </c:pt>
                <c:pt idx="4">
                  <c:v>84.12</c:v>
                </c:pt>
                <c:pt idx="5">
                  <c:v>87.15</c:v>
                </c:pt>
                <c:pt idx="6">
                  <c:v>89.06780821917809</c:v>
                </c:pt>
                <c:pt idx="7">
                  <c:v>88.013822163238217</c:v>
                </c:pt>
              </c:numCache>
            </c:numRef>
          </c:val>
        </c:ser>
        <c:marker val="1"/>
        <c:axId val="177278976"/>
        <c:axId val="177280512"/>
      </c:lineChart>
      <c:catAx>
        <c:axId val="177278976"/>
        <c:scaling>
          <c:orientation val="minMax"/>
        </c:scaling>
        <c:axPos val="b"/>
        <c:numFmt formatCode="General" sourceLinked="1"/>
        <c:tickLblPos val="nextTo"/>
        <c:crossAx val="177280512"/>
        <c:crosses val="autoZero"/>
        <c:auto val="1"/>
        <c:lblAlgn val="ctr"/>
        <c:lblOffset val="100"/>
      </c:catAx>
      <c:valAx>
        <c:axId val="17728051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7278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c:v>
                </c:pt>
                <c:pt idx="1">
                  <c:v>2.29</c:v>
                </c:pt>
                <c:pt idx="2">
                  <c:v>2.4300000000000002</c:v>
                </c:pt>
                <c:pt idx="3">
                  <c:v>2.5646721460449524</c:v>
                </c:pt>
                <c:pt idx="4">
                  <c:v>2.42</c:v>
                </c:pt>
                <c:pt idx="5">
                  <c:v>1.87</c:v>
                </c:pt>
                <c:pt idx="6">
                  <c:v>2.0299999999999998</c:v>
                </c:pt>
              </c:numCache>
            </c:numRef>
          </c:val>
        </c:ser>
        <c:marker val="1"/>
        <c:axId val="177324032"/>
        <c:axId val="177325568"/>
      </c:lineChart>
      <c:catAx>
        <c:axId val="177324032"/>
        <c:scaling>
          <c:orientation val="minMax"/>
        </c:scaling>
        <c:axPos val="b"/>
        <c:tickLblPos val="nextTo"/>
        <c:crossAx val="177325568"/>
        <c:crosses val="autoZero"/>
        <c:auto val="1"/>
        <c:lblAlgn val="ctr"/>
        <c:lblOffset val="100"/>
      </c:catAx>
      <c:valAx>
        <c:axId val="177325568"/>
        <c:scaling>
          <c:orientation val="minMax"/>
        </c:scaling>
        <c:axPos val="l"/>
        <c:majorGridlines/>
        <c:numFmt formatCode="General" sourceLinked="1"/>
        <c:tickLblPos val="nextTo"/>
        <c:crossAx val="177324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0.10416666666666667</c:v>
                </c:pt>
                <c:pt idx="1">
                  <c:v>0.21</c:v>
                </c:pt>
                <c:pt idx="2">
                  <c:v>0.43</c:v>
                </c:pt>
                <c:pt idx="3">
                  <c:v>0.36349683959692242</c:v>
                </c:pt>
                <c:pt idx="4">
                  <c:v>0.34</c:v>
                </c:pt>
                <c:pt idx="5">
                  <c:v>0.24</c:v>
                </c:pt>
                <c:pt idx="6">
                  <c:v>0.21</c:v>
                </c:pt>
              </c:numCache>
            </c:numRef>
          </c:val>
        </c:ser>
        <c:marker val="1"/>
        <c:axId val="177479040"/>
        <c:axId val="177497216"/>
      </c:lineChart>
      <c:catAx>
        <c:axId val="177479040"/>
        <c:scaling>
          <c:orientation val="minMax"/>
        </c:scaling>
        <c:axPos val="b"/>
        <c:tickLblPos val="nextTo"/>
        <c:crossAx val="177497216"/>
        <c:crosses val="autoZero"/>
        <c:auto val="1"/>
        <c:lblAlgn val="ctr"/>
        <c:lblOffset val="100"/>
      </c:catAx>
      <c:valAx>
        <c:axId val="177497216"/>
        <c:scaling>
          <c:orientation val="minMax"/>
        </c:scaling>
        <c:axPos val="l"/>
        <c:majorGridlines/>
        <c:numFmt formatCode="General" sourceLinked="1"/>
        <c:tickLblPos val="nextTo"/>
        <c:crossAx val="177479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0.19743336623889438</c:v>
                </c:pt>
                <c:pt idx="1">
                  <c:v>0.19630938358853556</c:v>
                </c:pt>
                <c:pt idx="2">
                  <c:v>0.7807925043919578</c:v>
                </c:pt>
                <c:pt idx="3">
                  <c:v>0.58139534883720911</c:v>
                </c:pt>
                <c:pt idx="4">
                  <c:v>0.19278966647387696</c:v>
                </c:pt>
                <c:pt idx="5">
                  <c:v>0.19109497420217847</c:v>
                </c:pt>
                <c:pt idx="6">
                  <c:v>0.56904400606980299</c:v>
                </c:pt>
                <c:pt idx="7">
                  <c:v>1.3277693474962062</c:v>
                </c:pt>
              </c:numCache>
            </c:numRef>
          </c:val>
        </c:ser>
        <c:marker val="1"/>
        <c:axId val="139528832"/>
        <c:axId val="139534720"/>
      </c:lineChart>
      <c:catAx>
        <c:axId val="139528832"/>
        <c:scaling>
          <c:orientation val="minMax"/>
        </c:scaling>
        <c:axPos val="b"/>
        <c:tickLblPos val="nextTo"/>
        <c:crossAx val="139534720"/>
        <c:crosses val="autoZero"/>
        <c:auto val="1"/>
        <c:lblAlgn val="ctr"/>
        <c:lblOffset val="100"/>
      </c:catAx>
      <c:valAx>
        <c:axId val="139534720"/>
        <c:scaling>
          <c:orientation val="minMax"/>
        </c:scaling>
        <c:axPos val="l"/>
        <c:majorGridlines/>
        <c:numFmt formatCode="General" sourceLinked="1"/>
        <c:tickLblPos val="nextTo"/>
        <c:crossAx val="139528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0.58892815076560656</c:v>
                </c:pt>
                <c:pt idx="2">
                  <c:v>0</c:v>
                </c:pt>
                <c:pt idx="3">
                  <c:v>0</c:v>
                </c:pt>
                <c:pt idx="4">
                  <c:v>0</c:v>
                </c:pt>
                <c:pt idx="5">
                  <c:v>0</c:v>
                </c:pt>
                <c:pt idx="6">
                  <c:v>0.18968133535660095</c:v>
                </c:pt>
                <c:pt idx="7">
                  <c:v>0</c:v>
                </c:pt>
              </c:numCache>
            </c:numRef>
          </c:val>
        </c:ser>
        <c:marker val="1"/>
        <c:axId val="139569408"/>
        <c:axId val="139583488"/>
      </c:lineChart>
      <c:catAx>
        <c:axId val="139569408"/>
        <c:scaling>
          <c:orientation val="minMax"/>
        </c:scaling>
        <c:axPos val="b"/>
        <c:tickLblPos val="nextTo"/>
        <c:crossAx val="139583488"/>
        <c:crosses val="autoZero"/>
        <c:auto val="1"/>
        <c:lblAlgn val="ctr"/>
        <c:lblOffset val="100"/>
      </c:catAx>
      <c:valAx>
        <c:axId val="139583488"/>
        <c:scaling>
          <c:orientation val="minMax"/>
        </c:scaling>
        <c:axPos val="l"/>
        <c:majorGridlines/>
        <c:numFmt formatCode="General" sourceLinked="1"/>
        <c:tickLblPos val="nextTo"/>
        <c:crossAx val="139569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1.9743336623889438</c:v>
                </c:pt>
                <c:pt idx="1">
                  <c:v>4.5151158225363153</c:v>
                </c:pt>
                <c:pt idx="2">
                  <c:v>5.6607456568416934</c:v>
                </c:pt>
                <c:pt idx="3">
                  <c:v>3.4883720930232553</c:v>
                </c:pt>
                <c:pt idx="4">
                  <c:v>6.5548486601118174</c:v>
                </c:pt>
                <c:pt idx="5">
                  <c:v>4.5862793808522841</c:v>
                </c:pt>
                <c:pt idx="6">
                  <c:v>8.7253414264036433</c:v>
                </c:pt>
                <c:pt idx="7">
                  <c:v>6.6388467374810318</c:v>
                </c:pt>
              </c:numCache>
            </c:numRef>
          </c:val>
        </c:ser>
        <c:marker val="1"/>
        <c:axId val="176785280"/>
        <c:axId val="176786816"/>
      </c:lineChart>
      <c:catAx>
        <c:axId val="176785280"/>
        <c:scaling>
          <c:orientation val="minMax"/>
        </c:scaling>
        <c:axPos val="b"/>
        <c:tickLblPos val="nextTo"/>
        <c:crossAx val="176786816"/>
        <c:crosses val="autoZero"/>
        <c:auto val="1"/>
        <c:lblAlgn val="ctr"/>
        <c:lblOffset val="100"/>
      </c:catAx>
      <c:valAx>
        <c:axId val="176786816"/>
        <c:scaling>
          <c:orientation val="minMax"/>
        </c:scaling>
        <c:axPos val="l"/>
        <c:majorGridlines/>
        <c:numFmt formatCode="General" sourceLinked="1"/>
        <c:tickLblPos val="nextTo"/>
        <c:crossAx val="176785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4.3435340572556758</c:v>
                </c:pt>
                <c:pt idx="1">
                  <c:v>3.9261876717707112</c:v>
                </c:pt>
                <c:pt idx="2">
                  <c:v>3.9039625219597887</c:v>
                </c:pt>
                <c:pt idx="3">
                  <c:v>4.6511627906976765</c:v>
                </c:pt>
                <c:pt idx="4">
                  <c:v>3.8557933294775397</c:v>
                </c:pt>
                <c:pt idx="5">
                  <c:v>4.5862793808522841</c:v>
                </c:pt>
                <c:pt idx="6">
                  <c:v>4.5523520485584212</c:v>
                </c:pt>
                <c:pt idx="7">
                  <c:v>7.0182094081942346</c:v>
                </c:pt>
              </c:numCache>
            </c:numRef>
          </c:val>
        </c:ser>
        <c:marker val="1"/>
        <c:axId val="176821760"/>
        <c:axId val="176823296"/>
      </c:lineChart>
      <c:catAx>
        <c:axId val="176821760"/>
        <c:scaling>
          <c:orientation val="minMax"/>
        </c:scaling>
        <c:axPos val="b"/>
        <c:tickLblPos val="nextTo"/>
        <c:crossAx val="176823296"/>
        <c:crosses val="autoZero"/>
        <c:auto val="1"/>
        <c:lblAlgn val="ctr"/>
        <c:lblOffset val="100"/>
      </c:catAx>
      <c:valAx>
        <c:axId val="176823296"/>
        <c:scaling>
          <c:orientation val="minMax"/>
        </c:scaling>
        <c:axPos val="l"/>
        <c:majorGridlines/>
        <c:numFmt formatCode="General" sourceLinked="1"/>
        <c:tickLblPos val="nextTo"/>
        <c:crossAx val="176821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1.579466929911155</c:v>
                </c:pt>
                <c:pt idx="1">
                  <c:v>0</c:v>
                </c:pt>
                <c:pt idx="2">
                  <c:v>0.39039625219597901</c:v>
                </c:pt>
                <c:pt idx="3">
                  <c:v>0.77519379844961256</c:v>
                </c:pt>
                <c:pt idx="4">
                  <c:v>0.19278966647387696</c:v>
                </c:pt>
                <c:pt idx="5">
                  <c:v>0</c:v>
                </c:pt>
                <c:pt idx="6">
                  <c:v>0.56904400606980299</c:v>
                </c:pt>
                <c:pt idx="7">
                  <c:v>1.3277693474962062</c:v>
                </c:pt>
              </c:numCache>
            </c:numRef>
          </c:val>
        </c:ser>
        <c:marker val="1"/>
        <c:axId val="176870528"/>
        <c:axId val="176872064"/>
      </c:lineChart>
      <c:catAx>
        <c:axId val="176870528"/>
        <c:scaling>
          <c:orientation val="minMax"/>
        </c:scaling>
        <c:axPos val="b"/>
        <c:tickLblPos val="nextTo"/>
        <c:crossAx val="176872064"/>
        <c:crosses val="autoZero"/>
        <c:auto val="1"/>
        <c:lblAlgn val="ctr"/>
        <c:lblOffset val="100"/>
      </c:catAx>
      <c:valAx>
        <c:axId val="176872064"/>
        <c:scaling>
          <c:orientation val="minMax"/>
        </c:scaling>
        <c:axPos val="l"/>
        <c:majorGridlines/>
        <c:numFmt formatCode="General" sourceLinked="1"/>
        <c:tickLblPos val="nextTo"/>
        <c:crossAx val="176870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0.39039625219597901</c:v>
                </c:pt>
                <c:pt idx="3">
                  <c:v>0</c:v>
                </c:pt>
                <c:pt idx="4">
                  <c:v>0</c:v>
                </c:pt>
                <c:pt idx="5">
                  <c:v>0</c:v>
                </c:pt>
                <c:pt idx="6">
                  <c:v>0.56904400606980299</c:v>
                </c:pt>
                <c:pt idx="7">
                  <c:v>0.18968133535660095</c:v>
                </c:pt>
              </c:numCache>
            </c:numRef>
          </c:val>
        </c:ser>
        <c:marker val="1"/>
        <c:axId val="176923392"/>
        <c:axId val="176924928"/>
      </c:lineChart>
      <c:catAx>
        <c:axId val="176923392"/>
        <c:scaling>
          <c:orientation val="minMax"/>
        </c:scaling>
        <c:axPos val="b"/>
        <c:tickLblPos val="nextTo"/>
        <c:crossAx val="176924928"/>
        <c:crosses val="autoZero"/>
        <c:auto val="1"/>
        <c:lblAlgn val="ctr"/>
        <c:lblOffset val="100"/>
      </c:catAx>
      <c:valAx>
        <c:axId val="176924928"/>
        <c:scaling>
          <c:orientation val="minMax"/>
        </c:scaling>
        <c:axPos val="l"/>
        <c:majorGridlines/>
        <c:numFmt formatCode="General" sourceLinked="1"/>
        <c:tickLblPos val="nextTo"/>
        <c:crossAx val="176923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5.923000987166831</c:v>
                </c:pt>
                <c:pt idx="1">
                  <c:v>3.9261876717707112</c:v>
                </c:pt>
                <c:pt idx="2">
                  <c:v>4.8799531524497368</c:v>
                </c:pt>
                <c:pt idx="3">
                  <c:v>5.4263565891472867</c:v>
                </c:pt>
                <c:pt idx="4">
                  <c:v>4.048582995951417</c:v>
                </c:pt>
                <c:pt idx="5">
                  <c:v>4.7773743550544623</c:v>
                </c:pt>
                <c:pt idx="6">
                  <c:v>5.6904400606980268</c:v>
                </c:pt>
                <c:pt idx="7">
                  <c:v>8.345978755690437</c:v>
                </c:pt>
              </c:numCache>
            </c:numRef>
          </c:val>
        </c:ser>
        <c:marker val="1"/>
        <c:axId val="176955776"/>
        <c:axId val="176957312"/>
      </c:lineChart>
      <c:catAx>
        <c:axId val="176955776"/>
        <c:scaling>
          <c:orientation val="minMax"/>
        </c:scaling>
        <c:axPos val="b"/>
        <c:tickLblPos val="nextTo"/>
        <c:crossAx val="176957312"/>
        <c:crosses val="autoZero"/>
        <c:auto val="1"/>
        <c:lblAlgn val="ctr"/>
        <c:lblOffset val="100"/>
      </c:catAx>
      <c:valAx>
        <c:axId val="176957312"/>
        <c:scaling>
          <c:orientation val="minMax"/>
        </c:scaling>
        <c:axPos val="l"/>
        <c:majorGridlines/>
        <c:numFmt formatCode="General" sourceLinked="1"/>
        <c:tickLblPos val="nextTo"/>
        <c:crossAx val="176955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Newark and Sherwood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6.2463400351356633</c:v>
                </c:pt>
                <c:pt idx="1">
                  <c:v>5.2325581395348832</c:v>
                </c:pt>
                <c:pt idx="2">
                  <c:v>7.1332176595334493</c:v>
                </c:pt>
                <c:pt idx="3">
                  <c:v>6.8794190712784253</c:v>
                </c:pt>
                <c:pt idx="4">
                  <c:v>10.299696509863431</c:v>
                </c:pt>
              </c:numCache>
            </c:numRef>
          </c:val>
        </c:ser>
        <c:marker val="1"/>
        <c:axId val="176996352"/>
        <c:axId val="176997888"/>
      </c:lineChart>
      <c:catAx>
        <c:axId val="176996352"/>
        <c:scaling>
          <c:orientation val="minMax"/>
        </c:scaling>
        <c:axPos val="b"/>
        <c:tickLblPos val="nextTo"/>
        <c:crossAx val="176997888"/>
        <c:crosses val="autoZero"/>
        <c:auto val="1"/>
        <c:lblAlgn val="ctr"/>
        <c:lblOffset val="100"/>
      </c:catAx>
      <c:valAx>
        <c:axId val="176997888"/>
        <c:scaling>
          <c:orientation val="minMax"/>
        </c:scaling>
        <c:axPos val="l"/>
        <c:majorGridlines/>
        <c:numFmt formatCode="General" sourceLinked="1"/>
        <c:tickLblPos val="nextTo"/>
        <c:crossAx val="176996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06A32-784D-4B03-81D1-89094D28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2018-04-30T08:37:00Z</dcterms:created>
  <dcterms:modified xsi:type="dcterms:W3CDTF">2018-05-04T13:10:00Z</dcterms:modified>
</cp:coreProperties>
</file>