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D3428">
      <w:r w:rsidRPr="00CD3428">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D032A8" w:rsidRDefault="005B3009" w:rsidP="004D3814">
                  <w:pPr>
                    <w:jc w:val="right"/>
                    <w:rPr>
                      <w:rFonts w:ascii="Segoe UI" w:hAnsi="Segoe UI" w:cs="Segoe UI"/>
                      <w:b/>
                      <w:sz w:val="52"/>
                      <w:szCs w:val="72"/>
                      <w:u w:val="single"/>
                    </w:rPr>
                  </w:pPr>
                  <w:r w:rsidRPr="00D032A8">
                    <w:rPr>
                      <w:rFonts w:ascii="Segoe UI" w:hAnsi="Segoe UI" w:cs="Segoe UI"/>
                      <w:b/>
                      <w:sz w:val="52"/>
                      <w:szCs w:val="72"/>
                      <w:u w:val="single"/>
                    </w:rPr>
                    <w:t>S</w:t>
                  </w:r>
                  <w:r w:rsidR="00D032A8" w:rsidRPr="00D032A8">
                    <w:rPr>
                      <w:rFonts w:ascii="Segoe UI" w:hAnsi="Segoe UI" w:cs="Segoe UI"/>
                      <w:b/>
                      <w:sz w:val="52"/>
                      <w:szCs w:val="72"/>
                      <w:u w:val="single"/>
                    </w:rPr>
                    <w:t>outh Cambridge</w:t>
                  </w:r>
                  <w:r w:rsidR="00C116E2" w:rsidRPr="00D032A8">
                    <w:rPr>
                      <w:rFonts w:ascii="Segoe UI" w:hAnsi="Segoe UI" w:cs="Segoe UI"/>
                      <w:b/>
                      <w:sz w:val="52"/>
                      <w:szCs w:val="72"/>
                      <w:u w:val="single"/>
                    </w:rPr>
                    <w:t>shire</w:t>
                  </w:r>
                  <w:r w:rsidR="00452B0C" w:rsidRPr="00D032A8">
                    <w:rPr>
                      <w:rFonts w:ascii="Segoe UI" w:hAnsi="Segoe UI" w:cs="Segoe UI"/>
                      <w:b/>
                      <w:sz w:val="52"/>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D3428"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D3428"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D3428"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D3428"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D3428"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1C3C1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C3C1B" w:rsidRDefault="001C3C1B" w:rsidP="001C3C1B">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200"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4403</w:t>
            </w:r>
          </w:p>
        </w:tc>
        <w:tc>
          <w:tcPr>
            <w:tcW w:w="1200"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4472</w:t>
            </w:r>
          </w:p>
        </w:tc>
        <w:tc>
          <w:tcPr>
            <w:tcW w:w="1200"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4606</w:t>
            </w:r>
          </w:p>
        </w:tc>
        <w:tc>
          <w:tcPr>
            <w:tcW w:w="1200"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4755</w:t>
            </w:r>
          </w:p>
        </w:tc>
        <w:tc>
          <w:tcPr>
            <w:tcW w:w="1200"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4895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1C3C1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C3C1B" w:rsidRDefault="001C3C1B" w:rsidP="001C3C1B">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200"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3380</w:t>
            </w:r>
          </w:p>
        </w:tc>
        <w:tc>
          <w:tcPr>
            <w:tcW w:w="1200"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3431</w:t>
            </w:r>
          </w:p>
        </w:tc>
        <w:tc>
          <w:tcPr>
            <w:tcW w:w="1200"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3519</w:t>
            </w:r>
          </w:p>
        </w:tc>
        <w:tc>
          <w:tcPr>
            <w:tcW w:w="1200"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3604</w:t>
            </w:r>
          </w:p>
        </w:tc>
        <w:tc>
          <w:tcPr>
            <w:tcW w:w="1200"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3687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1C3C1B"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1C3C1B" w:rsidRDefault="001C3C1B" w:rsidP="001C3C1B">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054"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2348</w:t>
            </w:r>
          </w:p>
        </w:tc>
        <w:tc>
          <w:tcPr>
            <w:tcW w:w="1054"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2362</w:t>
            </w:r>
          </w:p>
        </w:tc>
        <w:tc>
          <w:tcPr>
            <w:tcW w:w="1054"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2445</w:t>
            </w:r>
          </w:p>
        </w:tc>
        <w:tc>
          <w:tcPr>
            <w:tcW w:w="1054"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2514</w:t>
            </w:r>
          </w:p>
        </w:tc>
        <w:tc>
          <w:tcPr>
            <w:tcW w:w="1054" w:type="dxa"/>
            <w:tcBorders>
              <w:top w:val="nil"/>
              <w:left w:val="nil"/>
              <w:bottom w:val="single" w:sz="4" w:space="0" w:color="auto"/>
              <w:right w:val="single" w:sz="4" w:space="0" w:color="auto"/>
            </w:tcBorders>
            <w:shd w:val="clear" w:color="auto" w:fill="auto"/>
            <w:noWrap/>
            <w:vAlign w:val="bottom"/>
            <w:hideMark/>
          </w:tcPr>
          <w:p w:rsidR="001C3C1B" w:rsidRDefault="001C3C1B" w:rsidP="001C3C1B">
            <w:pPr>
              <w:spacing w:after="100" w:afterAutospacing="1"/>
              <w:jc w:val="right"/>
              <w:rPr>
                <w:rFonts w:ascii="Tahoma" w:hAnsi="Tahoma" w:cs="Tahoma"/>
                <w:color w:val="000000"/>
                <w:sz w:val="16"/>
                <w:szCs w:val="16"/>
              </w:rPr>
            </w:pPr>
            <w:r>
              <w:rPr>
                <w:rFonts w:ascii="Tahoma" w:hAnsi="Tahoma" w:cs="Tahoma"/>
                <w:color w:val="000000"/>
                <w:sz w:val="16"/>
                <w:szCs w:val="16"/>
              </w:rPr>
              <w:t>2567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07536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75364" w:rsidRDefault="00075364" w:rsidP="00075364">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2818"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30.01</w:t>
            </w:r>
          </w:p>
        </w:tc>
        <w:tc>
          <w:tcPr>
            <w:tcW w:w="2647"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30.01</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07536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75364" w:rsidRDefault="00075364" w:rsidP="00075364">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356"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101.97</w:t>
            </w:r>
          </w:p>
        </w:tc>
        <w:tc>
          <w:tcPr>
            <w:tcW w:w="1377"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2.73</w:t>
            </w:r>
          </w:p>
        </w:tc>
        <w:tc>
          <w:tcPr>
            <w:tcW w:w="1661"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211.7</w:t>
            </w:r>
          </w:p>
        </w:tc>
        <w:tc>
          <w:tcPr>
            <w:tcW w:w="1559"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32.44</w:t>
            </w:r>
          </w:p>
        </w:tc>
        <w:tc>
          <w:tcPr>
            <w:tcW w:w="1418"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348.84</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07536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75364" w:rsidRDefault="00075364" w:rsidP="00075364">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276"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323.9</w:t>
            </w:r>
          </w:p>
        </w:tc>
        <w:tc>
          <w:tcPr>
            <w:tcW w:w="1417"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29.3</w:t>
            </w:r>
          </w:p>
        </w:tc>
        <w:tc>
          <w:tcPr>
            <w:tcW w:w="1559"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1754.4</w:t>
            </w:r>
          </w:p>
        </w:tc>
        <w:tc>
          <w:tcPr>
            <w:tcW w:w="1560"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492</w:t>
            </w:r>
          </w:p>
        </w:tc>
        <w:tc>
          <w:tcPr>
            <w:tcW w:w="1559"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2599.6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07536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75364" w:rsidRDefault="00075364" w:rsidP="00075364">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843"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134.71</w:t>
            </w:r>
          </w:p>
        </w:tc>
        <w:tc>
          <w:tcPr>
            <w:tcW w:w="1984"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244.14</w:t>
            </w:r>
          </w:p>
        </w:tc>
        <w:tc>
          <w:tcPr>
            <w:tcW w:w="1843"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2599.6</w:t>
            </w:r>
          </w:p>
        </w:tc>
        <w:tc>
          <w:tcPr>
            <w:tcW w:w="1701" w:type="dxa"/>
            <w:tcBorders>
              <w:top w:val="nil"/>
              <w:left w:val="nil"/>
              <w:bottom w:val="single" w:sz="4" w:space="0" w:color="auto"/>
              <w:right w:val="single" w:sz="4" w:space="0" w:color="auto"/>
            </w:tcBorders>
            <w:shd w:val="clear" w:color="auto" w:fill="auto"/>
            <w:noWrap/>
            <w:vAlign w:val="bottom"/>
            <w:hideMark/>
          </w:tcPr>
          <w:p w:rsidR="00075364" w:rsidRDefault="00075364" w:rsidP="00075364">
            <w:pPr>
              <w:spacing w:after="100" w:afterAutospacing="1"/>
              <w:jc w:val="right"/>
              <w:rPr>
                <w:rFonts w:ascii="Tahoma" w:hAnsi="Tahoma" w:cs="Tahoma"/>
                <w:color w:val="000000"/>
                <w:sz w:val="16"/>
                <w:szCs w:val="16"/>
              </w:rPr>
            </w:pPr>
            <w:r>
              <w:rPr>
                <w:rFonts w:ascii="Tahoma" w:hAnsi="Tahoma" w:cs="Tahoma"/>
                <w:color w:val="000000"/>
                <w:sz w:val="16"/>
                <w:szCs w:val="16"/>
              </w:rPr>
              <w:t>2978.5</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075364" w:rsidRPr="009500DD" w:rsidTr="00075364">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364" w:rsidRDefault="00075364" w:rsidP="00075364">
            <w:pPr>
              <w:spacing w:after="100" w:afterAutospacing="1"/>
              <w:rPr>
                <w:rFonts w:ascii="Calibri" w:hAnsi="Calibri" w:cs="Calibri"/>
                <w:color w:val="000000"/>
              </w:rPr>
            </w:pPr>
            <w:r>
              <w:rPr>
                <w:rFonts w:ascii="Calibri" w:hAnsi="Calibri" w:cs="Calibri"/>
                <w:color w:val="000000"/>
              </w:rPr>
              <w:t>Road length of principal roads in Cambridgeshire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75364" w:rsidRDefault="00075364" w:rsidP="00075364">
            <w:pPr>
              <w:spacing w:after="100" w:afterAutospacing="1"/>
              <w:rPr>
                <w:rFonts w:ascii="Calibri" w:hAnsi="Calibri" w:cs="Calibri"/>
                <w:color w:val="000000"/>
              </w:rPr>
            </w:pPr>
            <w:r>
              <w:rPr>
                <w:rFonts w:ascii="Calibri" w:hAnsi="Calibri" w:cs="Calibri"/>
                <w:color w:val="000000"/>
              </w:rPr>
              <w:t>7.3miles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075364" w:rsidRPr="009500DD" w:rsidTr="00075364">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364" w:rsidRDefault="00075364" w:rsidP="00075364">
            <w:pPr>
              <w:spacing w:after="100" w:afterAutospacing="1"/>
              <w:rPr>
                <w:rFonts w:ascii="Calibri" w:hAnsi="Calibri" w:cs="Calibri"/>
                <w:color w:val="000000"/>
              </w:rPr>
            </w:pPr>
            <w:r>
              <w:rPr>
                <w:rFonts w:ascii="Calibri" w:hAnsi="Calibri" w:cs="Calibri"/>
                <w:color w:val="000000"/>
              </w:rPr>
              <w:t>Road length of non-principal roads in Cambridgeshire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75364" w:rsidRDefault="00075364" w:rsidP="00075364">
            <w:pPr>
              <w:spacing w:after="100" w:afterAutospacing="1"/>
              <w:rPr>
                <w:rFonts w:ascii="Calibri" w:hAnsi="Calibri" w:cs="Calibri"/>
                <w:color w:val="000000"/>
              </w:rPr>
            </w:pPr>
            <w:r>
              <w:rPr>
                <w:rFonts w:ascii="Calibri" w:hAnsi="Calibri" w:cs="Calibri"/>
                <w:color w:val="000000"/>
              </w:rPr>
              <w:t>156miles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4C2A"/>
    <w:rsid w:val="00057D91"/>
    <w:rsid w:val="00061590"/>
    <w:rsid w:val="0007288F"/>
    <w:rsid w:val="00073826"/>
    <w:rsid w:val="00075364"/>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B01"/>
    <w:rsid w:val="001C3C1B"/>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44E1"/>
    <w:rsid w:val="004B4BE1"/>
    <w:rsid w:val="004C095C"/>
    <w:rsid w:val="004C2A1C"/>
    <w:rsid w:val="004C4189"/>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E612B"/>
    <w:rsid w:val="006F2C9A"/>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8729F"/>
    <w:rsid w:val="007909EB"/>
    <w:rsid w:val="007929B2"/>
    <w:rsid w:val="007B5629"/>
    <w:rsid w:val="007C052F"/>
    <w:rsid w:val="007C397F"/>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3B3D"/>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160C"/>
    <w:rsid w:val="009E23B5"/>
    <w:rsid w:val="009E5806"/>
    <w:rsid w:val="00A012FC"/>
    <w:rsid w:val="00A02536"/>
    <w:rsid w:val="00A16075"/>
    <w:rsid w:val="00A22EF5"/>
    <w:rsid w:val="00A26B4E"/>
    <w:rsid w:val="00A3620F"/>
    <w:rsid w:val="00A3775B"/>
    <w:rsid w:val="00A44C1F"/>
    <w:rsid w:val="00A504D8"/>
    <w:rsid w:val="00A55068"/>
    <w:rsid w:val="00A55118"/>
    <w:rsid w:val="00A567A9"/>
    <w:rsid w:val="00A57F92"/>
    <w:rsid w:val="00A61248"/>
    <w:rsid w:val="00A67FA7"/>
    <w:rsid w:val="00A75DA5"/>
    <w:rsid w:val="00A8038C"/>
    <w:rsid w:val="00A94878"/>
    <w:rsid w:val="00AA1C54"/>
    <w:rsid w:val="00AA40CB"/>
    <w:rsid w:val="00AA4EAF"/>
    <w:rsid w:val="00AB2003"/>
    <w:rsid w:val="00AB51B9"/>
    <w:rsid w:val="00AC18BA"/>
    <w:rsid w:val="00AD10D9"/>
    <w:rsid w:val="00AE3362"/>
    <w:rsid w:val="00AF0048"/>
    <w:rsid w:val="00B14FB6"/>
    <w:rsid w:val="00B40A45"/>
    <w:rsid w:val="00B41079"/>
    <w:rsid w:val="00B4609A"/>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5FB2"/>
    <w:rsid w:val="00C9139A"/>
    <w:rsid w:val="00CA08E1"/>
    <w:rsid w:val="00CA0B05"/>
    <w:rsid w:val="00CB452F"/>
    <w:rsid w:val="00CB4C8D"/>
    <w:rsid w:val="00CD17F8"/>
    <w:rsid w:val="00CD3428"/>
    <w:rsid w:val="00CE1A68"/>
    <w:rsid w:val="00CF207D"/>
    <w:rsid w:val="00CF7E07"/>
    <w:rsid w:val="00D032A8"/>
    <w:rsid w:val="00D1146E"/>
    <w:rsid w:val="00D170C3"/>
    <w:rsid w:val="00D31FBD"/>
    <w:rsid w:val="00D32C9E"/>
    <w:rsid w:val="00D34678"/>
    <w:rsid w:val="00D3717A"/>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329C"/>
    <w:rsid w:val="00E15F39"/>
    <w:rsid w:val="00E17957"/>
    <w:rsid w:val="00E2160C"/>
    <w:rsid w:val="00E21DB6"/>
    <w:rsid w:val="00E24A9C"/>
    <w:rsid w:val="00E30696"/>
    <w:rsid w:val="00E33D6C"/>
    <w:rsid w:val="00E43E31"/>
    <w:rsid w:val="00E51B66"/>
    <w:rsid w:val="00E54A42"/>
    <w:rsid w:val="00E5517B"/>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South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16.214419304723769</c:v>
                </c:pt>
                <c:pt idx="1">
                  <c:v>17.061354070116401</c:v>
                </c:pt>
                <c:pt idx="2">
                  <c:v>33.2965785566102</c:v>
                </c:pt>
              </c:numCache>
            </c:numRef>
          </c:val>
        </c:ser>
        <c:marker val="1"/>
        <c:axId val="148630528"/>
        <c:axId val="148660992"/>
      </c:lineChart>
      <c:catAx>
        <c:axId val="148630528"/>
        <c:scaling>
          <c:orientation val="minMax"/>
        </c:scaling>
        <c:axPos val="b"/>
        <c:numFmt formatCode="General" sourceLinked="1"/>
        <c:tickLblPos val="nextTo"/>
        <c:crossAx val="148660992"/>
        <c:crosses val="autoZero"/>
        <c:auto val="1"/>
        <c:lblAlgn val="ctr"/>
        <c:lblOffset val="100"/>
      </c:catAx>
      <c:valAx>
        <c:axId val="1486609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630528"/>
        <c:crosses val="autoZero"/>
        <c:crossBetween val="between"/>
      </c:valAx>
    </c:plotArea>
    <c:legend>
      <c:legendPos val="r"/>
      <c:txPr>
        <a:bodyPr/>
        <a:lstStyle/>
        <a:p>
          <a:pPr>
            <a:defRPr sz="7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South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10.8168285491458</c:v>
                </c:pt>
                <c:pt idx="1">
                  <c:v>10.879195417511006</c:v>
                </c:pt>
                <c:pt idx="2">
                  <c:v>11.562956333131922</c:v>
                </c:pt>
              </c:numCache>
            </c:numRef>
          </c:val>
        </c:ser>
        <c:marker val="1"/>
        <c:axId val="149572224"/>
        <c:axId val="149598592"/>
      </c:lineChart>
      <c:catAx>
        <c:axId val="149572224"/>
        <c:scaling>
          <c:orientation val="minMax"/>
        </c:scaling>
        <c:axPos val="b"/>
        <c:numFmt formatCode="General" sourceLinked="1"/>
        <c:tickLblPos val="nextTo"/>
        <c:crossAx val="149598592"/>
        <c:crosses val="autoZero"/>
        <c:auto val="1"/>
        <c:lblAlgn val="ctr"/>
        <c:lblOffset val="100"/>
      </c:catAx>
      <c:valAx>
        <c:axId val="1495985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72224"/>
        <c:crosses val="autoZero"/>
        <c:crossBetween val="between"/>
      </c:valAx>
    </c:plotArea>
    <c:legend>
      <c:legendPos val="r"/>
      <c:txPr>
        <a:bodyPr/>
        <a:lstStyle/>
        <a:p>
          <a:pPr>
            <a:defRPr sz="7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South Cambridgeshire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4.7768037170158761</c:v>
                </c:pt>
                <c:pt idx="1">
                  <c:v>4.5826381432229324</c:v>
                </c:pt>
                <c:pt idx="2">
                  <c:v>4.5347319732386202</c:v>
                </c:pt>
              </c:numCache>
            </c:numRef>
          </c:val>
        </c:ser>
        <c:axId val="149695488"/>
        <c:axId val="149705472"/>
      </c:barChart>
      <c:catAx>
        <c:axId val="149695488"/>
        <c:scaling>
          <c:orientation val="minMax"/>
        </c:scaling>
        <c:axPos val="b"/>
        <c:numFmt formatCode="General" sourceLinked="1"/>
        <c:tickLblPos val="nextTo"/>
        <c:crossAx val="149705472"/>
        <c:crosses val="autoZero"/>
        <c:auto val="1"/>
        <c:lblAlgn val="ctr"/>
        <c:lblOffset val="100"/>
      </c:catAx>
      <c:valAx>
        <c:axId val="149705472"/>
        <c:scaling>
          <c:orientation val="minMax"/>
        </c:scaling>
        <c:axPos val="l"/>
        <c:majorGridlines/>
        <c:numFmt formatCode="General" sourceLinked="1"/>
        <c:tickLblPos val="nextTo"/>
        <c:txPr>
          <a:bodyPr/>
          <a:lstStyle/>
          <a:p>
            <a:pPr>
              <a:defRPr sz="800"/>
            </a:pPr>
            <a:endParaRPr lang="en-US"/>
          </a:p>
        </c:txPr>
        <c:crossAx val="149695488"/>
        <c:crosses val="autoZero"/>
        <c:crossBetween val="between"/>
      </c:valAx>
    </c:plotArea>
    <c:legend>
      <c:legendPos val="r"/>
      <c:txPr>
        <a:bodyPr/>
        <a:lstStyle/>
        <a:p>
          <a:pPr>
            <a:defRPr sz="7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South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9.6436991520946709</c:v>
                </c:pt>
                <c:pt idx="1">
                  <c:v>9.6134865837558703</c:v>
                </c:pt>
                <c:pt idx="2">
                  <c:v>9.8722430376140711</c:v>
                </c:pt>
              </c:numCache>
            </c:numRef>
          </c:val>
        </c:ser>
        <c:marker val="1"/>
        <c:axId val="149728256"/>
        <c:axId val="149623552"/>
      </c:lineChart>
      <c:catAx>
        <c:axId val="149728256"/>
        <c:scaling>
          <c:orientation val="minMax"/>
        </c:scaling>
        <c:axPos val="b"/>
        <c:numFmt formatCode="General" sourceLinked="1"/>
        <c:tickLblPos val="nextTo"/>
        <c:crossAx val="149623552"/>
        <c:crosses val="autoZero"/>
        <c:auto val="1"/>
        <c:lblAlgn val="ctr"/>
        <c:lblOffset val="100"/>
      </c:catAx>
      <c:valAx>
        <c:axId val="1496235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28256"/>
        <c:crosses val="autoZero"/>
        <c:crossBetween val="between"/>
      </c:valAx>
    </c:plotArea>
    <c:legend>
      <c:legendPos val="r"/>
      <c:txPr>
        <a:bodyPr/>
        <a:lstStyle/>
        <a:p>
          <a:pPr>
            <a:defRPr sz="7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South Cambridgeshire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6.6070833698606055</c:v>
                </c:pt>
                <c:pt idx="1">
                  <c:v>6.5965970099942197</c:v>
                </c:pt>
                <c:pt idx="2">
                  <c:v>6.4761708102750495</c:v>
                </c:pt>
              </c:numCache>
            </c:numRef>
          </c:val>
        </c:ser>
        <c:axId val="149659008"/>
        <c:axId val="149664896"/>
      </c:barChart>
      <c:catAx>
        <c:axId val="149659008"/>
        <c:scaling>
          <c:orientation val="minMax"/>
        </c:scaling>
        <c:axPos val="b"/>
        <c:numFmt formatCode="General" sourceLinked="1"/>
        <c:tickLblPos val="nextTo"/>
        <c:crossAx val="149664896"/>
        <c:crosses val="autoZero"/>
        <c:auto val="1"/>
        <c:lblAlgn val="ctr"/>
        <c:lblOffset val="100"/>
      </c:catAx>
      <c:valAx>
        <c:axId val="149664896"/>
        <c:scaling>
          <c:orientation val="minMax"/>
        </c:scaling>
        <c:axPos val="l"/>
        <c:majorGridlines/>
        <c:numFmt formatCode="General" sourceLinked="1"/>
        <c:tickLblPos val="nextTo"/>
        <c:txPr>
          <a:bodyPr/>
          <a:lstStyle/>
          <a:p>
            <a:pPr>
              <a:defRPr sz="800"/>
            </a:pPr>
            <a:endParaRPr lang="en-US"/>
          </a:p>
        </c:txPr>
        <c:crossAx val="149659008"/>
        <c:crosses val="autoZero"/>
        <c:crossBetween val="between"/>
      </c:valAx>
    </c:plotArea>
    <c:legend>
      <c:legendPos val="r"/>
      <c:txPr>
        <a:bodyPr/>
        <a:lstStyle/>
        <a:p>
          <a:pPr>
            <a:defRPr sz="7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South Cambridgeshire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7.7968206191557785</c:v>
                </c:pt>
                <c:pt idx="1">
                  <c:v>7.7876661200351265</c:v>
                </c:pt>
                <c:pt idx="2">
                  <c:v>7.9696766871520914</c:v>
                </c:pt>
              </c:numCache>
            </c:numRef>
          </c:val>
        </c:ser>
        <c:marker val="1"/>
        <c:axId val="149757312"/>
        <c:axId val="149771392"/>
      </c:lineChart>
      <c:catAx>
        <c:axId val="149757312"/>
        <c:scaling>
          <c:orientation val="minMax"/>
        </c:scaling>
        <c:axPos val="b"/>
        <c:numFmt formatCode="General" sourceLinked="1"/>
        <c:tickLblPos val="nextTo"/>
        <c:crossAx val="149771392"/>
        <c:crosses val="autoZero"/>
        <c:auto val="1"/>
        <c:lblAlgn val="ctr"/>
        <c:lblOffset val="100"/>
      </c:catAx>
      <c:valAx>
        <c:axId val="1497713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57312"/>
        <c:crosses val="autoZero"/>
        <c:crossBetween val="between"/>
      </c:valAx>
    </c:plotArea>
    <c:legend>
      <c:legendPos val="r"/>
      <c:txPr>
        <a:bodyPr/>
        <a:lstStyle/>
        <a:p>
          <a:pPr>
            <a:defRPr sz="7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South Cambridgeshire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9807104"/>
        <c:axId val="149808640"/>
      </c:barChart>
      <c:catAx>
        <c:axId val="149807104"/>
        <c:scaling>
          <c:orientation val="minMax"/>
        </c:scaling>
        <c:axPos val="b"/>
        <c:numFmt formatCode="General" sourceLinked="1"/>
        <c:tickLblPos val="nextTo"/>
        <c:crossAx val="149808640"/>
        <c:crosses val="autoZero"/>
        <c:auto val="1"/>
        <c:lblAlgn val="ctr"/>
        <c:lblOffset val="100"/>
      </c:catAx>
      <c:valAx>
        <c:axId val="149808640"/>
        <c:scaling>
          <c:orientation val="minMax"/>
        </c:scaling>
        <c:axPos val="l"/>
        <c:majorGridlines/>
        <c:numFmt formatCode="General" sourceLinked="1"/>
        <c:tickLblPos val="nextTo"/>
        <c:txPr>
          <a:bodyPr/>
          <a:lstStyle/>
          <a:p>
            <a:pPr>
              <a:defRPr sz="800"/>
            </a:pPr>
            <a:endParaRPr lang="en-US"/>
          </a:p>
        </c:txPr>
        <c:crossAx val="149807104"/>
        <c:crosses val="autoZero"/>
        <c:crossBetween val="between"/>
      </c:valAx>
    </c:plotArea>
    <c:legend>
      <c:legendPos val="r"/>
      <c:txPr>
        <a:bodyPr/>
        <a:lstStyle/>
        <a:p>
          <a:pPr>
            <a:defRPr sz="7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South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24.747043144493887</c:v>
                </c:pt>
                <c:pt idx="1">
                  <c:v>25.0574924533169</c:v>
                </c:pt>
                <c:pt idx="2">
                  <c:v>25.094592666931174</c:v>
                </c:pt>
              </c:numCache>
            </c:numRef>
          </c:val>
        </c:ser>
        <c:marker val="1"/>
        <c:axId val="149864448"/>
        <c:axId val="149865984"/>
      </c:lineChart>
      <c:catAx>
        <c:axId val="149864448"/>
        <c:scaling>
          <c:orientation val="minMax"/>
        </c:scaling>
        <c:axPos val="b"/>
        <c:numFmt formatCode="General" sourceLinked="1"/>
        <c:tickLblPos val="nextTo"/>
        <c:crossAx val="149865984"/>
        <c:crosses val="autoZero"/>
        <c:auto val="1"/>
        <c:lblAlgn val="ctr"/>
        <c:lblOffset val="100"/>
      </c:catAx>
      <c:valAx>
        <c:axId val="1498659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64448"/>
        <c:crosses val="autoZero"/>
        <c:crossBetween val="between"/>
      </c:valAx>
    </c:plotArea>
    <c:legend>
      <c:legendPos val="r"/>
      <c:txPr>
        <a:bodyPr/>
        <a:lstStyle/>
        <a:p>
          <a:pPr>
            <a:defRPr sz="7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South Cambridgeshire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1.0958222811671086</c:v>
                </c:pt>
                <c:pt idx="1">
                  <c:v>1.1001199694623216</c:v>
                </c:pt>
                <c:pt idx="2">
                  <c:v>1.0875777074926398</c:v>
                </c:pt>
              </c:numCache>
            </c:numRef>
          </c:val>
        </c:ser>
        <c:axId val="149983232"/>
        <c:axId val="149984768"/>
      </c:barChart>
      <c:catAx>
        <c:axId val="149983232"/>
        <c:scaling>
          <c:orientation val="minMax"/>
        </c:scaling>
        <c:axPos val="b"/>
        <c:numFmt formatCode="General" sourceLinked="1"/>
        <c:tickLblPos val="nextTo"/>
        <c:crossAx val="149984768"/>
        <c:crosses val="autoZero"/>
        <c:auto val="1"/>
        <c:lblAlgn val="ctr"/>
        <c:lblOffset val="100"/>
      </c:catAx>
      <c:valAx>
        <c:axId val="149984768"/>
        <c:scaling>
          <c:orientation val="minMax"/>
        </c:scaling>
        <c:axPos val="l"/>
        <c:majorGridlines/>
        <c:numFmt formatCode="General" sourceLinked="1"/>
        <c:tickLblPos val="nextTo"/>
        <c:txPr>
          <a:bodyPr/>
          <a:lstStyle/>
          <a:p>
            <a:pPr>
              <a:defRPr sz="800"/>
            </a:pPr>
            <a:endParaRPr lang="en-US"/>
          </a:p>
        </c:txPr>
        <c:crossAx val="149983232"/>
        <c:crosses val="autoZero"/>
        <c:crossBetween val="between"/>
      </c:valAx>
    </c:plotArea>
    <c:legend>
      <c:legendPos val="r"/>
      <c:txPr>
        <a:bodyPr/>
        <a:lstStyle/>
        <a:p>
          <a:pPr>
            <a:defRPr sz="7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South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20.102632996988689</c:v>
                </c:pt>
                <c:pt idx="1">
                  <c:v>20.010643884613373</c:v>
                </c:pt>
                <c:pt idx="2">
                  <c:v>20.079195555145802</c:v>
                </c:pt>
              </c:numCache>
            </c:numRef>
          </c:val>
        </c:ser>
        <c:marker val="1"/>
        <c:axId val="149889024"/>
        <c:axId val="149890560"/>
      </c:lineChart>
      <c:catAx>
        <c:axId val="149889024"/>
        <c:scaling>
          <c:orientation val="minMax"/>
        </c:scaling>
        <c:axPos val="b"/>
        <c:numFmt formatCode="General" sourceLinked="1"/>
        <c:tickLblPos val="nextTo"/>
        <c:crossAx val="149890560"/>
        <c:crosses val="autoZero"/>
        <c:auto val="1"/>
        <c:lblAlgn val="ctr"/>
        <c:lblOffset val="100"/>
      </c:catAx>
      <c:valAx>
        <c:axId val="1498905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89024"/>
        <c:crosses val="autoZero"/>
        <c:crossBetween val="between"/>
      </c:valAx>
    </c:plotArea>
    <c:legend>
      <c:legendPos val="r"/>
      <c:txPr>
        <a:bodyPr/>
        <a:lstStyle/>
        <a:p>
          <a:pPr>
            <a:defRPr sz="7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South Cambridgeshire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1.9034040671971686</c:v>
                </c:pt>
                <c:pt idx="1">
                  <c:v>1.9529937834005899</c:v>
                </c:pt>
                <c:pt idx="2">
                  <c:v>1.9267095648380423</c:v>
                </c:pt>
              </c:numCache>
            </c:numRef>
          </c:val>
        </c:ser>
        <c:axId val="149922176"/>
        <c:axId val="149923712"/>
      </c:barChart>
      <c:catAx>
        <c:axId val="149922176"/>
        <c:scaling>
          <c:orientation val="minMax"/>
        </c:scaling>
        <c:axPos val="b"/>
        <c:numFmt formatCode="General" sourceLinked="1"/>
        <c:tickLblPos val="nextTo"/>
        <c:crossAx val="149923712"/>
        <c:crosses val="autoZero"/>
        <c:auto val="1"/>
        <c:lblAlgn val="ctr"/>
        <c:lblOffset val="100"/>
      </c:catAx>
      <c:valAx>
        <c:axId val="149923712"/>
        <c:scaling>
          <c:orientation val="minMax"/>
        </c:scaling>
        <c:axPos val="l"/>
        <c:majorGridlines/>
        <c:numFmt formatCode="General" sourceLinked="1"/>
        <c:tickLblPos val="nextTo"/>
        <c:txPr>
          <a:bodyPr/>
          <a:lstStyle/>
          <a:p>
            <a:pPr>
              <a:defRPr sz="800"/>
            </a:pPr>
            <a:endParaRPr lang="en-US"/>
          </a:p>
        </c:txPr>
        <c:crossAx val="149922176"/>
        <c:crosses val="autoZero"/>
        <c:crossBetween val="between"/>
      </c:valAx>
    </c:plotArea>
    <c:legend>
      <c:legendPos val="r"/>
      <c:txPr>
        <a:bodyPr/>
        <a:lstStyle/>
        <a:p>
          <a:pPr>
            <a:defRPr sz="7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South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14.016461343566602</c:v>
                </c:pt>
                <c:pt idx="1">
                  <c:v>14.365980696061822</c:v>
                </c:pt>
                <c:pt idx="2">
                  <c:v>15.625820426675299</c:v>
                </c:pt>
              </c:numCache>
            </c:numRef>
          </c:val>
        </c:ser>
        <c:marker val="1"/>
        <c:axId val="148688896"/>
        <c:axId val="148690432"/>
      </c:lineChart>
      <c:catAx>
        <c:axId val="148688896"/>
        <c:scaling>
          <c:orientation val="minMax"/>
        </c:scaling>
        <c:axPos val="b"/>
        <c:numFmt formatCode="General" sourceLinked="1"/>
        <c:tickLblPos val="nextTo"/>
        <c:crossAx val="148690432"/>
        <c:crosses val="autoZero"/>
        <c:auto val="1"/>
        <c:lblAlgn val="ctr"/>
        <c:lblOffset val="100"/>
      </c:catAx>
      <c:valAx>
        <c:axId val="1486904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688896"/>
        <c:crosses val="autoZero"/>
        <c:crossBetween val="between"/>
      </c:valAx>
    </c:plotArea>
    <c:legend>
      <c:legendPos val="r"/>
      <c:txPr>
        <a:bodyPr/>
        <a:lstStyle/>
        <a:p>
          <a:pPr>
            <a:defRPr sz="7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South Cambridgeshire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12.070293134872401</c:v>
                </c:pt>
                <c:pt idx="1">
                  <c:v>12.07182693300971</c:v>
                </c:pt>
                <c:pt idx="2">
                  <c:v>12.2048978469637</c:v>
                </c:pt>
              </c:numCache>
            </c:numRef>
          </c:val>
        </c:ser>
        <c:marker val="1"/>
        <c:axId val="150028672"/>
        <c:axId val="150030208"/>
      </c:lineChart>
      <c:catAx>
        <c:axId val="150028672"/>
        <c:scaling>
          <c:orientation val="minMax"/>
        </c:scaling>
        <c:axPos val="b"/>
        <c:numFmt formatCode="General" sourceLinked="1"/>
        <c:tickLblPos val="nextTo"/>
        <c:crossAx val="150030208"/>
        <c:crosses val="autoZero"/>
        <c:auto val="1"/>
        <c:lblAlgn val="ctr"/>
        <c:lblOffset val="100"/>
      </c:catAx>
      <c:valAx>
        <c:axId val="150030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28672"/>
        <c:crosses val="autoZero"/>
        <c:crossBetween val="between"/>
      </c:valAx>
    </c:plotArea>
    <c:legend>
      <c:legendPos val="r"/>
      <c:txPr>
        <a:bodyPr/>
        <a:lstStyle/>
        <a:p>
          <a:pPr>
            <a:defRPr sz="7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South Cambridgeshire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9.8839522546419261</c:v>
                </c:pt>
                <c:pt idx="1">
                  <c:v>9.8240811429817789</c:v>
                </c:pt>
                <c:pt idx="2">
                  <c:v>9.8159014069146</c:v>
                </c:pt>
              </c:numCache>
            </c:numRef>
          </c:val>
        </c:ser>
        <c:axId val="150086400"/>
        <c:axId val="150087936"/>
      </c:barChart>
      <c:catAx>
        <c:axId val="150086400"/>
        <c:scaling>
          <c:orientation val="minMax"/>
        </c:scaling>
        <c:axPos val="b"/>
        <c:numFmt formatCode="General" sourceLinked="1"/>
        <c:tickLblPos val="nextTo"/>
        <c:crossAx val="150087936"/>
        <c:crosses val="autoZero"/>
        <c:auto val="1"/>
        <c:lblAlgn val="ctr"/>
        <c:lblOffset val="100"/>
      </c:catAx>
      <c:valAx>
        <c:axId val="150087936"/>
        <c:scaling>
          <c:orientation val="minMax"/>
        </c:scaling>
        <c:axPos val="l"/>
        <c:majorGridlines/>
        <c:numFmt formatCode="General" sourceLinked="1"/>
        <c:tickLblPos val="nextTo"/>
        <c:txPr>
          <a:bodyPr/>
          <a:lstStyle/>
          <a:p>
            <a:pPr>
              <a:defRPr sz="800"/>
            </a:pPr>
            <a:endParaRPr lang="en-US"/>
          </a:p>
        </c:txPr>
        <c:crossAx val="150086400"/>
        <c:crosses val="autoZero"/>
        <c:crossBetween val="between"/>
      </c:valAx>
    </c:plotArea>
    <c:legend>
      <c:legendPos val="r"/>
      <c:txPr>
        <a:bodyPr/>
        <a:lstStyle/>
        <a:p>
          <a:pPr>
            <a:defRPr sz="7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South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32.462228945275847</c:v>
                </c:pt>
                <c:pt idx="1">
                  <c:v>33.837490569502947</c:v>
                </c:pt>
                <c:pt idx="2">
                  <c:v>34.100681435279263</c:v>
                </c:pt>
              </c:numCache>
            </c:numRef>
          </c:val>
        </c:ser>
        <c:marker val="1"/>
        <c:axId val="150131456"/>
        <c:axId val="150132992"/>
      </c:lineChart>
      <c:catAx>
        <c:axId val="150131456"/>
        <c:scaling>
          <c:orientation val="minMax"/>
        </c:scaling>
        <c:axPos val="b"/>
        <c:numFmt formatCode="General" sourceLinked="1"/>
        <c:tickLblPos val="nextTo"/>
        <c:crossAx val="150132992"/>
        <c:crosses val="autoZero"/>
        <c:auto val="1"/>
        <c:lblAlgn val="ctr"/>
        <c:lblOffset val="100"/>
      </c:catAx>
      <c:valAx>
        <c:axId val="1501329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31456"/>
        <c:crosses val="autoZero"/>
        <c:crossBetween val="between"/>
      </c:valAx>
    </c:plotArea>
    <c:legend>
      <c:legendPos val="r"/>
      <c:txPr>
        <a:bodyPr/>
        <a:lstStyle/>
        <a:p>
          <a:pPr>
            <a:defRPr sz="7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South Cambridgeshire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0.776373704387335</c:v>
                </c:pt>
                <c:pt idx="1">
                  <c:v>0.63485417268264555</c:v>
                </c:pt>
                <c:pt idx="2">
                  <c:v>0.58099913369910583</c:v>
                </c:pt>
              </c:numCache>
            </c:numRef>
          </c:val>
        </c:ser>
        <c:axId val="150168704"/>
        <c:axId val="150170240"/>
      </c:barChart>
      <c:catAx>
        <c:axId val="150168704"/>
        <c:scaling>
          <c:orientation val="minMax"/>
        </c:scaling>
        <c:axPos val="b"/>
        <c:numFmt formatCode="General" sourceLinked="1"/>
        <c:tickLblPos val="nextTo"/>
        <c:crossAx val="150170240"/>
        <c:crosses val="autoZero"/>
        <c:auto val="1"/>
        <c:lblAlgn val="ctr"/>
        <c:lblOffset val="100"/>
      </c:catAx>
      <c:valAx>
        <c:axId val="150170240"/>
        <c:scaling>
          <c:orientation val="minMax"/>
        </c:scaling>
        <c:axPos val="l"/>
        <c:majorGridlines/>
        <c:numFmt formatCode="General" sourceLinked="1"/>
        <c:tickLblPos val="nextTo"/>
        <c:txPr>
          <a:bodyPr/>
          <a:lstStyle/>
          <a:p>
            <a:pPr>
              <a:defRPr sz="800"/>
            </a:pPr>
            <a:endParaRPr lang="en-US"/>
          </a:p>
        </c:txPr>
        <c:crossAx val="150168704"/>
        <c:crosses val="autoZero"/>
        <c:crossBetween val="between"/>
      </c:valAx>
    </c:plotArea>
    <c:legend>
      <c:legendPos val="r"/>
      <c:txPr>
        <a:bodyPr/>
        <a:lstStyle/>
        <a:p>
          <a:pPr>
            <a:defRPr sz="7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South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31.380295248032088</c:v>
                </c:pt>
                <c:pt idx="1">
                  <c:v>31.425301637312089</c:v>
                </c:pt>
                <c:pt idx="2">
                  <c:v>31.744980300348999</c:v>
                </c:pt>
              </c:numCache>
            </c:numRef>
          </c:val>
        </c:ser>
        <c:marker val="1"/>
        <c:axId val="150226048"/>
        <c:axId val="150227584"/>
      </c:lineChart>
      <c:catAx>
        <c:axId val="150226048"/>
        <c:scaling>
          <c:orientation val="minMax"/>
        </c:scaling>
        <c:axPos val="b"/>
        <c:numFmt formatCode="General" sourceLinked="1"/>
        <c:tickLblPos val="nextTo"/>
        <c:crossAx val="150227584"/>
        <c:crosses val="autoZero"/>
        <c:auto val="1"/>
        <c:lblAlgn val="ctr"/>
        <c:lblOffset val="100"/>
      </c:catAx>
      <c:valAx>
        <c:axId val="1502275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26048"/>
        <c:crosses val="autoZero"/>
        <c:crossBetween val="between"/>
      </c:valAx>
    </c:plotArea>
    <c:legend>
      <c:legendPos val="r"/>
      <c:txPr>
        <a:bodyPr/>
        <a:lstStyle/>
        <a:p>
          <a:pPr>
            <a:defRPr sz="7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South Cambridgeshire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1.2447820531023699</c:v>
                </c:pt>
                <c:pt idx="1">
                  <c:v>1.1957840023101398</c:v>
                </c:pt>
                <c:pt idx="2">
                  <c:v>1.2079122148426198</c:v>
                </c:pt>
              </c:numCache>
            </c:numRef>
          </c:val>
        </c:ser>
        <c:axId val="150271488"/>
        <c:axId val="150273024"/>
      </c:barChart>
      <c:catAx>
        <c:axId val="150271488"/>
        <c:scaling>
          <c:orientation val="minMax"/>
        </c:scaling>
        <c:axPos val="b"/>
        <c:numFmt formatCode="General" sourceLinked="1"/>
        <c:tickLblPos val="nextTo"/>
        <c:crossAx val="150273024"/>
        <c:crosses val="autoZero"/>
        <c:auto val="1"/>
        <c:lblAlgn val="ctr"/>
        <c:lblOffset val="100"/>
      </c:catAx>
      <c:valAx>
        <c:axId val="150273024"/>
        <c:scaling>
          <c:orientation val="minMax"/>
        </c:scaling>
        <c:axPos val="l"/>
        <c:majorGridlines/>
        <c:numFmt formatCode="General" sourceLinked="1"/>
        <c:tickLblPos val="nextTo"/>
        <c:txPr>
          <a:bodyPr/>
          <a:lstStyle/>
          <a:p>
            <a:pPr>
              <a:defRPr sz="800"/>
            </a:pPr>
            <a:endParaRPr lang="en-US"/>
          </a:p>
        </c:txPr>
        <c:crossAx val="150271488"/>
        <c:crosses val="autoZero"/>
        <c:crossBetween val="between"/>
      </c:valAx>
    </c:plotArea>
    <c:legend>
      <c:legendPos val="r"/>
      <c:txPr>
        <a:bodyPr/>
        <a:lstStyle/>
        <a:p>
          <a:pPr>
            <a:defRPr sz="7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South Cambridgeshire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15.7239315336257</c:v>
                </c:pt>
                <c:pt idx="1">
                  <c:v>16.151373250348598</c:v>
                </c:pt>
                <c:pt idx="2">
                  <c:v>16.492704017593589</c:v>
                </c:pt>
              </c:numCache>
            </c:numRef>
          </c:val>
        </c:ser>
        <c:marker val="1"/>
        <c:axId val="150308352"/>
        <c:axId val="150309888"/>
      </c:lineChart>
      <c:catAx>
        <c:axId val="150308352"/>
        <c:scaling>
          <c:orientation val="minMax"/>
        </c:scaling>
        <c:axPos val="b"/>
        <c:numFmt formatCode="General" sourceLinked="1"/>
        <c:tickLblPos val="nextTo"/>
        <c:crossAx val="150309888"/>
        <c:crosses val="autoZero"/>
        <c:auto val="1"/>
        <c:lblAlgn val="ctr"/>
        <c:lblOffset val="100"/>
      </c:catAx>
      <c:valAx>
        <c:axId val="1503098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08352"/>
        <c:crosses val="autoZero"/>
        <c:crossBetween val="between"/>
      </c:valAx>
    </c:plotArea>
    <c:legend>
      <c:legendPos val="r"/>
      <c:txPr>
        <a:bodyPr/>
        <a:lstStyle/>
        <a:p>
          <a:pPr>
            <a:defRPr sz="7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South Cambridgeshire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9.1196933125088702</c:v>
                </c:pt>
                <c:pt idx="1">
                  <c:v>7.9618827606121902</c:v>
                </c:pt>
                <c:pt idx="2">
                  <c:v>7.8563384348830514</c:v>
                </c:pt>
              </c:numCache>
            </c:numRef>
          </c:val>
        </c:ser>
        <c:axId val="150427904"/>
        <c:axId val="150446080"/>
      </c:barChart>
      <c:catAx>
        <c:axId val="150427904"/>
        <c:scaling>
          <c:orientation val="minMax"/>
        </c:scaling>
        <c:axPos val="b"/>
        <c:numFmt formatCode="General" sourceLinked="1"/>
        <c:tickLblPos val="nextTo"/>
        <c:crossAx val="150446080"/>
        <c:crosses val="autoZero"/>
        <c:auto val="1"/>
        <c:lblAlgn val="ctr"/>
        <c:lblOffset val="100"/>
      </c:catAx>
      <c:valAx>
        <c:axId val="150446080"/>
        <c:scaling>
          <c:orientation val="minMax"/>
        </c:scaling>
        <c:axPos val="l"/>
        <c:majorGridlines/>
        <c:numFmt formatCode="General" sourceLinked="1"/>
        <c:tickLblPos val="nextTo"/>
        <c:txPr>
          <a:bodyPr/>
          <a:lstStyle/>
          <a:p>
            <a:pPr>
              <a:defRPr sz="800"/>
            </a:pPr>
            <a:endParaRPr lang="en-US"/>
          </a:p>
        </c:txPr>
        <c:crossAx val="150427904"/>
        <c:crosses val="autoZero"/>
        <c:crossBetween val="between"/>
      </c:valAx>
    </c:plotArea>
    <c:legend>
      <c:legendPos val="r"/>
      <c:txPr>
        <a:bodyPr/>
        <a:lstStyle/>
        <a:p>
          <a:pPr>
            <a:defRPr sz="7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South Cambridgeshire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14.7092691701042</c:v>
                </c:pt>
                <c:pt idx="1">
                  <c:v>15.335371415360099</c:v>
                </c:pt>
              </c:numCache>
            </c:numRef>
          </c:val>
        </c:ser>
        <c:marker val="1"/>
        <c:axId val="150468864"/>
        <c:axId val="150343680"/>
      </c:lineChart>
      <c:catAx>
        <c:axId val="150468864"/>
        <c:scaling>
          <c:orientation val="minMax"/>
        </c:scaling>
        <c:axPos val="b"/>
        <c:numFmt formatCode="General" sourceLinked="1"/>
        <c:tickLblPos val="nextTo"/>
        <c:crossAx val="150343680"/>
        <c:crosses val="autoZero"/>
        <c:auto val="1"/>
        <c:lblAlgn val="ctr"/>
        <c:lblOffset val="100"/>
      </c:catAx>
      <c:valAx>
        <c:axId val="1503436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68864"/>
        <c:crosses val="autoZero"/>
        <c:crossBetween val="between"/>
      </c:valAx>
    </c:plotArea>
    <c:legend>
      <c:legendPos val="r"/>
      <c:txPr>
        <a:bodyPr/>
        <a:lstStyle/>
        <a:p>
          <a:pPr>
            <a:defRPr sz="7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South Cambridgeshire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3.7144193548387077</c:v>
                </c:pt>
                <c:pt idx="1">
                  <c:v>3.6287237925944744</c:v>
                </c:pt>
              </c:numCache>
            </c:numRef>
          </c:val>
        </c:ser>
        <c:axId val="150383232"/>
        <c:axId val="150397312"/>
      </c:barChart>
      <c:catAx>
        <c:axId val="150383232"/>
        <c:scaling>
          <c:orientation val="minMax"/>
        </c:scaling>
        <c:axPos val="b"/>
        <c:numFmt formatCode="General" sourceLinked="1"/>
        <c:tickLblPos val="nextTo"/>
        <c:crossAx val="150397312"/>
        <c:crosses val="autoZero"/>
        <c:auto val="1"/>
        <c:lblAlgn val="ctr"/>
        <c:lblOffset val="100"/>
      </c:catAx>
      <c:valAx>
        <c:axId val="150397312"/>
        <c:scaling>
          <c:orientation val="minMax"/>
        </c:scaling>
        <c:axPos val="l"/>
        <c:majorGridlines/>
        <c:numFmt formatCode="General" sourceLinked="1"/>
        <c:tickLblPos val="nextTo"/>
        <c:txPr>
          <a:bodyPr/>
          <a:lstStyle/>
          <a:p>
            <a:pPr>
              <a:defRPr sz="800"/>
            </a:pPr>
            <a:endParaRPr lang="en-US"/>
          </a:p>
        </c:txPr>
        <c:crossAx val="150383232"/>
        <c:crosses val="autoZero"/>
        <c:crossBetween val="between"/>
      </c:valAx>
    </c:plotArea>
    <c:legend>
      <c:legendPos val="r"/>
      <c:txPr>
        <a:bodyPr/>
        <a:lstStyle/>
        <a:p>
          <a:pPr>
            <a:defRPr sz="7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South Cambridgeshire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9.4659174935924408</c:v>
                </c:pt>
                <c:pt idx="1">
                  <c:v>9.6091349466701601</c:v>
                </c:pt>
                <c:pt idx="2">
                  <c:v>10.189863511143702</c:v>
                </c:pt>
              </c:numCache>
            </c:numRef>
          </c:val>
        </c:ser>
        <c:marker val="1"/>
        <c:axId val="118464896"/>
        <c:axId val="118466432"/>
      </c:lineChart>
      <c:catAx>
        <c:axId val="118464896"/>
        <c:scaling>
          <c:orientation val="minMax"/>
        </c:scaling>
        <c:axPos val="b"/>
        <c:numFmt formatCode="General" sourceLinked="1"/>
        <c:tickLblPos val="nextTo"/>
        <c:crossAx val="118466432"/>
        <c:crosses val="autoZero"/>
        <c:auto val="1"/>
        <c:lblAlgn val="ctr"/>
        <c:lblOffset val="100"/>
      </c:catAx>
      <c:valAx>
        <c:axId val="11846643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8464896"/>
        <c:crosses val="autoZero"/>
        <c:crossBetween val="between"/>
      </c:valAx>
    </c:plotArea>
    <c:legend>
      <c:legendPos val="r"/>
      <c:txPr>
        <a:bodyPr/>
        <a:lstStyle/>
        <a:p>
          <a:pPr>
            <a:defRPr sz="7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South Cambridgeshire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12.115893602409002</c:v>
                </c:pt>
                <c:pt idx="1">
                  <c:v>12.4399870874438</c:v>
                </c:pt>
              </c:numCache>
            </c:numRef>
          </c:val>
        </c:ser>
        <c:marker val="1"/>
        <c:axId val="150489728"/>
        <c:axId val="150495616"/>
      </c:lineChart>
      <c:catAx>
        <c:axId val="150489728"/>
        <c:scaling>
          <c:orientation val="minMax"/>
        </c:scaling>
        <c:axPos val="b"/>
        <c:numFmt formatCode="General" sourceLinked="1"/>
        <c:tickLblPos val="nextTo"/>
        <c:crossAx val="150495616"/>
        <c:crosses val="autoZero"/>
        <c:auto val="1"/>
        <c:lblAlgn val="ctr"/>
        <c:lblOffset val="100"/>
      </c:catAx>
      <c:valAx>
        <c:axId val="1504956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89728"/>
        <c:crosses val="autoZero"/>
        <c:crossBetween val="between"/>
      </c:valAx>
    </c:plotArea>
    <c:legend>
      <c:legendPos val="r"/>
      <c:txPr>
        <a:bodyPr/>
        <a:lstStyle/>
        <a:p>
          <a:pPr>
            <a:defRPr sz="7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South Cambridgeshire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4.7897903225806457</c:v>
                </c:pt>
                <c:pt idx="1">
                  <c:v>4.9953973368038502</c:v>
                </c:pt>
              </c:numCache>
            </c:numRef>
          </c:val>
        </c:ser>
        <c:axId val="150539264"/>
        <c:axId val="150549248"/>
      </c:barChart>
      <c:catAx>
        <c:axId val="150539264"/>
        <c:scaling>
          <c:orientation val="minMax"/>
        </c:scaling>
        <c:axPos val="b"/>
        <c:numFmt formatCode="General" sourceLinked="1"/>
        <c:tickLblPos val="nextTo"/>
        <c:crossAx val="150549248"/>
        <c:crosses val="autoZero"/>
        <c:auto val="1"/>
        <c:lblAlgn val="ctr"/>
        <c:lblOffset val="100"/>
      </c:catAx>
      <c:valAx>
        <c:axId val="150549248"/>
        <c:scaling>
          <c:orientation val="minMax"/>
        </c:scaling>
        <c:axPos val="l"/>
        <c:majorGridlines/>
        <c:numFmt formatCode="General" sourceLinked="1"/>
        <c:tickLblPos val="nextTo"/>
        <c:txPr>
          <a:bodyPr/>
          <a:lstStyle/>
          <a:p>
            <a:pPr>
              <a:defRPr sz="800"/>
            </a:pPr>
            <a:endParaRPr lang="en-US"/>
          </a:p>
        </c:txPr>
        <c:crossAx val="150539264"/>
        <c:crosses val="autoZero"/>
        <c:crossBetween val="between"/>
      </c:valAx>
    </c:plotArea>
    <c:legend>
      <c:legendPos val="r"/>
      <c:txPr>
        <a:bodyPr/>
        <a:lstStyle/>
        <a:p>
          <a:pPr>
            <a:defRPr sz="7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South Cambridgeshire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8.747209897310988</c:v>
                </c:pt>
                <c:pt idx="1">
                  <c:v>8.6975624967718517</c:v>
                </c:pt>
              </c:numCache>
            </c:numRef>
          </c:val>
        </c:ser>
        <c:marker val="1"/>
        <c:axId val="150588416"/>
        <c:axId val="150598400"/>
      </c:lineChart>
      <c:catAx>
        <c:axId val="150588416"/>
        <c:scaling>
          <c:orientation val="minMax"/>
        </c:scaling>
        <c:axPos val="b"/>
        <c:numFmt formatCode="General" sourceLinked="1"/>
        <c:tickLblPos val="nextTo"/>
        <c:crossAx val="150598400"/>
        <c:crosses val="autoZero"/>
        <c:auto val="1"/>
        <c:lblAlgn val="ctr"/>
        <c:lblOffset val="100"/>
      </c:catAx>
      <c:valAx>
        <c:axId val="1505984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88416"/>
        <c:crosses val="autoZero"/>
        <c:crossBetween val="between"/>
      </c:valAx>
    </c:plotArea>
    <c:legend>
      <c:legendPos val="r"/>
      <c:txPr>
        <a:bodyPr/>
        <a:lstStyle/>
        <a:p>
          <a:pPr>
            <a:defRPr sz="7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South Cambridgeshire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0625664"/>
        <c:axId val="150635648"/>
      </c:barChart>
      <c:catAx>
        <c:axId val="150625664"/>
        <c:scaling>
          <c:orientation val="minMax"/>
        </c:scaling>
        <c:axPos val="b"/>
        <c:numFmt formatCode="General" sourceLinked="1"/>
        <c:tickLblPos val="nextTo"/>
        <c:crossAx val="150635648"/>
        <c:crosses val="autoZero"/>
        <c:auto val="1"/>
        <c:lblAlgn val="ctr"/>
        <c:lblOffset val="100"/>
      </c:catAx>
      <c:valAx>
        <c:axId val="150635648"/>
        <c:scaling>
          <c:orientation val="minMax"/>
        </c:scaling>
        <c:axPos val="l"/>
        <c:majorGridlines/>
        <c:numFmt formatCode="General" sourceLinked="1"/>
        <c:tickLblPos val="nextTo"/>
        <c:txPr>
          <a:bodyPr/>
          <a:lstStyle/>
          <a:p>
            <a:pPr>
              <a:defRPr sz="800"/>
            </a:pPr>
            <a:endParaRPr lang="en-US"/>
          </a:p>
        </c:txPr>
        <c:crossAx val="150625664"/>
        <c:crosses val="autoZero"/>
        <c:crossBetween val="between"/>
      </c:valAx>
    </c:plotArea>
    <c:legend>
      <c:legendPos val="r"/>
      <c:txPr>
        <a:bodyPr/>
        <a:lstStyle/>
        <a:p>
          <a:pPr>
            <a:defRPr sz="7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South Cambridgeshire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54.867974729647528</c:v>
                </c:pt>
                <c:pt idx="1">
                  <c:v>55.6540300228041</c:v>
                </c:pt>
              </c:numCache>
            </c:numRef>
          </c:val>
        </c:ser>
        <c:marker val="1"/>
        <c:axId val="150679552"/>
        <c:axId val="150681088"/>
      </c:lineChart>
      <c:catAx>
        <c:axId val="150679552"/>
        <c:scaling>
          <c:orientation val="minMax"/>
        </c:scaling>
        <c:axPos val="b"/>
        <c:numFmt formatCode="General" sourceLinked="1"/>
        <c:tickLblPos val="nextTo"/>
        <c:crossAx val="150681088"/>
        <c:crosses val="autoZero"/>
        <c:auto val="1"/>
        <c:lblAlgn val="ctr"/>
        <c:lblOffset val="100"/>
      </c:catAx>
      <c:valAx>
        <c:axId val="1506810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79552"/>
        <c:crosses val="autoZero"/>
        <c:crossBetween val="between"/>
      </c:valAx>
    </c:plotArea>
    <c:legend>
      <c:legendPos val="r"/>
      <c:txPr>
        <a:bodyPr/>
        <a:lstStyle/>
        <a:p>
          <a:pPr>
            <a:defRPr sz="7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South Cambridgeshire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8.3516129032258205E-2</c:v>
                </c:pt>
                <c:pt idx="1">
                  <c:v>5.1153046486898286E-2</c:v>
                </c:pt>
              </c:numCache>
            </c:numRef>
          </c:val>
        </c:ser>
        <c:axId val="150724992"/>
        <c:axId val="150726528"/>
      </c:barChart>
      <c:catAx>
        <c:axId val="150724992"/>
        <c:scaling>
          <c:orientation val="minMax"/>
        </c:scaling>
        <c:axPos val="b"/>
        <c:numFmt formatCode="General" sourceLinked="1"/>
        <c:tickLblPos val="nextTo"/>
        <c:crossAx val="150726528"/>
        <c:crosses val="autoZero"/>
        <c:auto val="1"/>
        <c:lblAlgn val="ctr"/>
        <c:lblOffset val="100"/>
      </c:catAx>
      <c:valAx>
        <c:axId val="150726528"/>
        <c:scaling>
          <c:orientation val="minMax"/>
        </c:scaling>
        <c:axPos val="l"/>
        <c:majorGridlines/>
        <c:numFmt formatCode="General" sourceLinked="1"/>
        <c:tickLblPos val="nextTo"/>
        <c:txPr>
          <a:bodyPr/>
          <a:lstStyle/>
          <a:p>
            <a:pPr>
              <a:defRPr sz="800"/>
            </a:pPr>
            <a:endParaRPr lang="en-US"/>
          </a:p>
        </c:txPr>
        <c:crossAx val="150724992"/>
        <c:crosses val="autoZero"/>
        <c:crossBetween val="between"/>
      </c:valAx>
    </c:plotArea>
    <c:legend>
      <c:legendPos val="r"/>
      <c:txPr>
        <a:bodyPr/>
        <a:lstStyle/>
        <a:p>
          <a:pPr>
            <a:defRPr sz="7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South Cambridgeshire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38.100044904643653</c:v>
                </c:pt>
                <c:pt idx="1">
                  <c:v>54.546610712256594</c:v>
                </c:pt>
              </c:numCache>
            </c:numRef>
          </c:val>
        </c:ser>
        <c:marker val="1"/>
        <c:axId val="150819200"/>
        <c:axId val="150820736"/>
      </c:lineChart>
      <c:catAx>
        <c:axId val="150819200"/>
        <c:scaling>
          <c:orientation val="minMax"/>
        </c:scaling>
        <c:axPos val="b"/>
        <c:numFmt formatCode="General" sourceLinked="1"/>
        <c:tickLblPos val="nextTo"/>
        <c:crossAx val="150820736"/>
        <c:crosses val="autoZero"/>
        <c:auto val="1"/>
        <c:lblAlgn val="ctr"/>
        <c:lblOffset val="100"/>
      </c:catAx>
      <c:valAx>
        <c:axId val="150820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19200"/>
        <c:crosses val="autoZero"/>
        <c:crossBetween val="between"/>
      </c:valAx>
    </c:plotArea>
    <c:legend>
      <c:legendPos val="r"/>
      <c:txPr>
        <a:bodyPr/>
        <a:lstStyle/>
        <a:p>
          <a:pPr>
            <a:defRPr sz="7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South Cambridgeshire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0.39624193548387127</c:v>
                </c:pt>
                <c:pt idx="1">
                  <c:v>0.116288666338661</c:v>
                </c:pt>
              </c:numCache>
            </c:numRef>
          </c:val>
        </c:ser>
        <c:axId val="150864640"/>
        <c:axId val="150866176"/>
      </c:barChart>
      <c:catAx>
        <c:axId val="150864640"/>
        <c:scaling>
          <c:orientation val="minMax"/>
        </c:scaling>
        <c:axPos val="b"/>
        <c:numFmt formatCode="General" sourceLinked="1"/>
        <c:tickLblPos val="nextTo"/>
        <c:crossAx val="150866176"/>
        <c:crosses val="autoZero"/>
        <c:auto val="1"/>
        <c:lblAlgn val="ctr"/>
        <c:lblOffset val="100"/>
      </c:catAx>
      <c:valAx>
        <c:axId val="150866176"/>
        <c:scaling>
          <c:orientation val="minMax"/>
        </c:scaling>
        <c:axPos val="l"/>
        <c:majorGridlines/>
        <c:numFmt formatCode="General" sourceLinked="1"/>
        <c:tickLblPos val="nextTo"/>
        <c:txPr>
          <a:bodyPr/>
          <a:lstStyle/>
          <a:p>
            <a:pPr>
              <a:defRPr sz="800"/>
            </a:pPr>
            <a:endParaRPr lang="en-US"/>
          </a:p>
        </c:txPr>
        <c:crossAx val="150864640"/>
        <c:crosses val="autoZero"/>
        <c:crossBetween val="between"/>
      </c:valAx>
    </c:plotArea>
    <c:legend>
      <c:legendPos val="r"/>
      <c:txPr>
        <a:bodyPr/>
        <a:lstStyle/>
        <a:p>
          <a:pPr>
            <a:defRPr sz="7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South Cambridgeshire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23.761549738496502</c:v>
                </c:pt>
                <c:pt idx="1">
                  <c:v>25.073253447652526</c:v>
                </c:pt>
              </c:numCache>
            </c:numRef>
          </c:val>
        </c:ser>
        <c:marker val="1"/>
        <c:axId val="150917888"/>
        <c:axId val="150919424"/>
      </c:lineChart>
      <c:catAx>
        <c:axId val="150917888"/>
        <c:scaling>
          <c:orientation val="minMax"/>
        </c:scaling>
        <c:axPos val="b"/>
        <c:numFmt formatCode="General" sourceLinked="1"/>
        <c:tickLblPos val="nextTo"/>
        <c:crossAx val="150919424"/>
        <c:crosses val="autoZero"/>
        <c:auto val="1"/>
        <c:lblAlgn val="ctr"/>
        <c:lblOffset val="100"/>
      </c:catAx>
      <c:valAx>
        <c:axId val="1509194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17888"/>
        <c:crosses val="autoZero"/>
        <c:crossBetween val="between"/>
      </c:valAx>
    </c:plotArea>
    <c:legend>
      <c:legendPos val="r"/>
      <c:txPr>
        <a:bodyPr/>
        <a:lstStyle/>
        <a:p>
          <a:pPr>
            <a:defRPr sz="7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South Cambridgeshire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1.49459677419355</c:v>
                </c:pt>
                <c:pt idx="1">
                  <c:v>0.78913454060659904</c:v>
                </c:pt>
              </c:numCache>
            </c:numRef>
          </c:val>
        </c:ser>
        <c:axId val="150967424"/>
        <c:axId val="150968960"/>
      </c:barChart>
      <c:catAx>
        <c:axId val="150967424"/>
        <c:scaling>
          <c:orientation val="minMax"/>
        </c:scaling>
        <c:axPos val="b"/>
        <c:numFmt formatCode="General" sourceLinked="1"/>
        <c:tickLblPos val="nextTo"/>
        <c:crossAx val="150968960"/>
        <c:crosses val="autoZero"/>
        <c:auto val="1"/>
        <c:lblAlgn val="ctr"/>
        <c:lblOffset val="100"/>
      </c:catAx>
      <c:valAx>
        <c:axId val="150968960"/>
        <c:scaling>
          <c:orientation val="minMax"/>
        </c:scaling>
        <c:axPos val="l"/>
        <c:majorGridlines/>
        <c:numFmt formatCode="General" sourceLinked="1"/>
        <c:tickLblPos val="nextTo"/>
        <c:txPr>
          <a:bodyPr/>
          <a:lstStyle/>
          <a:p>
            <a:pPr>
              <a:defRPr sz="800"/>
            </a:pPr>
            <a:endParaRPr lang="en-US"/>
          </a:p>
        </c:txPr>
        <c:crossAx val="150967424"/>
        <c:crosses val="autoZero"/>
        <c:crossBetween val="between"/>
      </c:valAx>
    </c:plotArea>
    <c:legend>
      <c:legendPos val="r"/>
      <c:txPr>
        <a:bodyPr/>
        <a:lstStyle/>
        <a:p>
          <a:pPr>
            <a:defRPr sz="7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South Cambridgeshire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18.210059500253902</c:v>
                </c:pt>
                <c:pt idx="1">
                  <c:v>17.809719423803902</c:v>
                </c:pt>
                <c:pt idx="2">
                  <c:v>18.246849630181657</c:v>
                </c:pt>
              </c:numCache>
            </c:numRef>
          </c:val>
        </c:ser>
        <c:marker val="1"/>
        <c:axId val="149316352"/>
        <c:axId val="149317888"/>
      </c:lineChart>
      <c:catAx>
        <c:axId val="149316352"/>
        <c:scaling>
          <c:orientation val="minMax"/>
        </c:scaling>
        <c:axPos val="b"/>
        <c:numFmt formatCode="General" sourceLinked="1"/>
        <c:tickLblPos val="nextTo"/>
        <c:crossAx val="149317888"/>
        <c:crosses val="autoZero"/>
        <c:auto val="1"/>
        <c:lblAlgn val="ctr"/>
        <c:lblOffset val="100"/>
      </c:catAx>
      <c:valAx>
        <c:axId val="14931788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16352"/>
        <c:crosses val="autoZero"/>
        <c:crossBetween val="between"/>
      </c:valAx>
    </c:plotArea>
    <c:legend>
      <c:legendPos val="r"/>
      <c:txPr>
        <a:bodyPr/>
        <a:lstStyle/>
        <a:p>
          <a:pPr>
            <a:defRPr sz="7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South Cambridgeshire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14.939146026674207</c:v>
                </c:pt>
              </c:numCache>
            </c:numRef>
          </c:val>
        </c:ser>
        <c:axId val="151012480"/>
        <c:axId val="151014016"/>
      </c:barChart>
      <c:catAx>
        <c:axId val="151012480"/>
        <c:scaling>
          <c:orientation val="minMax"/>
        </c:scaling>
        <c:axPos val="b"/>
        <c:numFmt formatCode="General" sourceLinked="1"/>
        <c:tickLblPos val="nextTo"/>
        <c:crossAx val="151014016"/>
        <c:crosses val="autoZero"/>
        <c:auto val="1"/>
        <c:lblAlgn val="ctr"/>
        <c:lblOffset val="100"/>
      </c:catAx>
      <c:valAx>
        <c:axId val="1510140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12480"/>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South Cambridgeshire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4.141587442665096</c:v>
                </c:pt>
              </c:numCache>
            </c:numRef>
          </c:val>
        </c:ser>
        <c:axId val="151057536"/>
        <c:axId val="151059072"/>
      </c:barChart>
      <c:catAx>
        <c:axId val="151057536"/>
        <c:scaling>
          <c:orientation val="minMax"/>
        </c:scaling>
        <c:axPos val="b"/>
        <c:numFmt formatCode="General" sourceLinked="1"/>
        <c:tickLblPos val="nextTo"/>
        <c:crossAx val="151059072"/>
        <c:crosses val="autoZero"/>
        <c:auto val="1"/>
        <c:lblAlgn val="ctr"/>
        <c:lblOffset val="100"/>
      </c:catAx>
      <c:valAx>
        <c:axId val="151059072"/>
        <c:scaling>
          <c:orientation val="minMax"/>
        </c:scaling>
        <c:axPos val="l"/>
        <c:majorGridlines/>
        <c:numFmt formatCode="General" sourceLinked="1"/>
        <c:tickLblPos val="nextTo"/>
        <c:txPr>
          <a:bodyPr/>
          <a:lstStyle/>
          <a:p>
            <a:pPr>
              <a:defRPr sz="800"/>
            </a:pPr>
            <a:endParaRPr lang="en-US"/>
          </a:p>
        </c:txPr>
        <c:crossAx val="151057536"/>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South Cambridgeshire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9.4864930209493981</c:v>
                </c:pt>
              </c:numCache>
            </c:numRef>
          </c:val>
        </c:ser>
        <c:axId val="151102208"/>
        <c:axId val="151103744"/>
      </c:barChart>
      <c:catAx>
        <c:axId val="151102208"/>
        <c:scaling>
          <c:orientation val="minMax"/>
        </c:scaling>
        <c:axPos val="b"/>
        <c:numFmt formatCode="General" sourceLinked="1"/>
        <c:tickLblPos val="nextTo"/>
        <c:crossAx val="151103744"/>
        <c:crosses val="autoZero"/>
        <c:auto val="1"/>
        <c:lblAlgn val="ctr"/>
        <c:lblOffset val="100"/>
      </c:catAx>
      <c:valAx>
        <c:axId val="1511037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02208"/>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South Cambridgeshire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9.9672099925405107</c:v>
                </c:pt>
              </c:numCache>
            </c:numRef>
          </c:val>
        </c:ser>
        <c:axId val="151155840"/>
        <c:axId val="151157376"/>
      </c:barChart>
      <c:catAx>
        <c:axId val="151155840"/>
        <c:scaling>
          <c:orientation val="minMax"/>
        </c:scaling>
        <c:axPos val="b"/>
        <c:numFmt formatCode="General" sourceLinked="1"/>
        <c:tickLblPos val="nextTo"/>
        <c:crossAx val="151157376"/>
        <c:crosses val="autoZero"/>
        <c:auto val="1"/>
        <c:lblAlgn val="ctr"/>
        <c:lblOffset val="100"/>
      </c:catAx>
      <c:valAx>
        <c:axId val="151157376"/>
        <c:scaling>
          <c:orientation val="minMax"/>
        </c:scaling>
        <c:axPos val="l"/>
        <c:majorGridlines/>
        <c:numFmt formatCode="General" sourceLinked="1"/>
        <c:tickLblPos val="nextTo"/>
        <c:txPr>
          <a:bodyPr/>
          <a:lstStyle/>
          <a:p>
            <a:pPr>
              <a:defRPr sz="800"/>
            </a:pPr>
            <a:endParaRPr lang="en-US"/>
          </a:p>
        </c:txPr>
        <c:crossAx val="151155840"/>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South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11.992702409966707</c:v>
                </c:pt>
                <c:pt idx="1">
                  <c:v>12.387381709759399</c:v>
                </c:pt>
                <c:pt idx="2">
                  <c:v>12.2803278467092</c:v>
                </c:pt>
              </c:numCache>
            </c:numRef>
          </c:val>
        </c:ser>
        <c:marker val="1"/>
        <c:axId val="151172224"/>
        <c:axId val="151173760"/>
      </c:lineChart>
      <c:catAx>
        <c:axId val="151172224"/>
        <c:scaling>
          <c:orientation val="minMax"/>
        </c:scaling>
        <c:axPos val="b"/>
        <c:numFmt formatCode="General" sourceLinked="1"/>
        <c:tickLblPos val="nextTo"/>
        <c:crossAx val="151173760"/>
        <c:crosses val="autoZero"/>
        <c:auto val="1"/>
        <c:lblAlgn val="ctr"/>
        <c:lblOffset val="100"/>
      </c:catAx>
      <c:valAx>
        <c:axId val="1511737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1172224"/>
        <c:crosses val="autoZero"/>
        <c:crossBetween val="between"/>
      </c:valAx>
    </c:plotArea>
    <c:legend>
      <c:legendPos val="r"/>
      <c:txPr>
        <a:bodyPr/>
        <a:lstStyle/>
        <a:p>
          <a:pPr>
            <a:defRPr sz="7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South Cambridgeshire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5.8399032258064496</c:v>
                </c:pt>
                <c:pt idx="1">
                  <c:v>6.1449362769216025</c:v>
                </c:pt>
                <c:pt idx="2">
                  <c:v>6.2446780000000004</c:v>
                </c:pt>
              </c:numCache>
            </c:numRef>
          </c:val>
        </c:ser>
        <c:axId val="151295488"/>
        <c:axId val="151297024"/>
      </c:barChart>
      <c:catAx>
        <c:axId val="151295488"/>
        <c:scaling>
          <c:orientation val="minMax"/>
        </c:scaling>
        <c:axPos val="b"/>
        <c:numFmt formatCode="General" sourceLinked="1"/>
        <c:tickLblPos val="nextTo"/>
        <c:crossAx val="151297024"/>
        <c:crosses val="autoZero"/>
        <c:auto val="1"/>
        <c:lblAlgn val="ctr"/>
        <c:lblOffset val="100"/>
      </c:catAx>
      <c:valAx>
        <c:axId val="151297024"/>
        <c:scaling>
          <c:orientation val="minMax"/>
        </c:scaling>
        <c:axPos val="l"/>
        <c:majorGridlines/>
        <c:numFmt formatCode="General" sourceLinked="1"/>
        <c:tickLblPos val="nextTo"/>
        <c:crossAx val="151295488"/>
        <c:crosses val="autoZero"/>
        <c:crossBetween val="between"/>
      </c:valAx>
    </c:plotArea>
    <c:legend>
      <c:legendPos val="r"/>
      <c:txPr>
        <a:bodyPr/>
        <a:lstStyle/>
        <a:p>
          <a:pPr>
            <a:defRPr sz="7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South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11.108392017539202</c:v>
                </c:pt>
                <c:pt idx="1">
                  <c:v>10.956947084344804</c:v>
                </c:pt>
                <c:pt idx="2">
                  <c:v>10.8848813267805</c:v>
                </c:pt>
              </c:numCache>
            </c:numRef>
          </c:val>
        </c:ser>
        <c:marker val="1"/>
        <c:axId val="151348736"/>
        <c:axId val="151350272"/>
      </c:lineChart>
      <c:catAx>
        <c:axId val="151348736"/>
        <c:scaling>
          <c:orientation val="minMax"/>
        </c:scaling>
        <c:axPos val="b"/>
        <c:numFmt formatCode="General" sourceLinked="1"/>
        <c:tickLblPos val="nextTo"/>
        <c:crossAx val="151350272"/>
        <c:crosses val="autoZero"/>
        <c:auto val="1"/>
        <c:lblAlgn val="ctr"/>
        <c:lblOffset val="100"/>
      </c:catAx>
      <c:valAx>
        <c:axId val="151350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1348736"/>
        <c:crosses val="autoZero"/>
        <c:crossBetween val="between"/>
      </c:valAx>
    </c:plotArea>
    <c:legend>
      <c:legendPos val="r"/>
      <c:txPr>
        <a:bodyPr/>
        <a:lstStyle/>
        <a:p>
          <a:pPr>
            <a:defRPr sz="7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South Cambridgeshire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6.3901290322580602</c:v>
                </c:pt>
                <c:pt idx="1">
                  <c:v>6.8991858047518475</c:v>
                </c:pt>
                <c:pt idx="2">
                  <c:v>7.035539</c:v>
                </c:pt>
              </c:numCache>
            </c:numRef>
          </c:val>
        </c:ser>
        <c:axId val="151385984"/>
        <c:axId val="151387520"/>
      </c:barChart>
      <c:catAx>
        <c:axId val="151385984"/>
        <c:scaling>
          <c:orientation val="minMax"/>
        </c:scaling>
        <c:axPos val="b"/>
        <c:numFmt formatCode="General" sourceLinked="1"/>
        <c:tickLblPos val="nextTo"/>
        <c:crossAx val="151387520"/>
        <c:crosses val="autoZero"/>
        <c:auto val="1"/>
        <c:lblAlgn val="ctr"/>
        <c:lblOffset val="100"/>
      </c:catAx>
      <c:valAx>
        <c:axId val="151387520"/>
        <c:scaling>
          <c:orientation val="minMax"/>
        </c:scaling>
        <c:axPos val="l"/>
        <c:majorGridlines/>
        <c:numFmt formatCode="General" sourceLinked="1"/>
        <c:tickLblPos val="nextTo"/>
        <c:crossAx val="151385984"/>
        <c:crosses val="autoZero"/>
        <c:crossBetween val="between"/>
      </c:valAx>
    </c:plotArea>
    <c:legend>
      <c:legendPos val="r"/>
      <c:txPr>
        <a:bodyPr/>
        <a:lstStyle/>
        <a:p>
          <a:pPr>
            <a:defRPr sz="7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South Cambridgeshire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8.0425518384489525</c:v>
                </c:pt>
                <c:pt idx="1">
                  <c:v>7.9897236067351924</c:v>
                </c:pt>
                <c:pt idx="2">
                  <c:v>7.9981272315339895</c:v>
                </c:pt>
              </c:numCache>
            </c:numRef>
          </c:val>
        </c:ser>
        <c:marker val="1"/>
        <c:axId val="151422848"/>
        <c:axId val="151424384"/>
      </c:lineChart>
      <c:catAx>
        <c:axId val="151422848"/>
        <c:scaling>
          <c:orientation val="minMax"/>
        </c:scaling>
        <c:axPos val="b"/>
        <c:numFmt formatCode="General" sourceLinked="1"/>
        <c:tickLblPos val="nextTo"/>
        <c:crossAx val="151424384"/>
        <c:crosses val="autoZero"/>
        <c:auto val="1"/>
        <c:lblAlgn val="ctr"/>
        <c:lblOffset val="100"/>
      </c:catAx>
      <c:valAx>
        <c:axId val="1514243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1422848"/>
        <c:crosses val="autoZero"/>
        <c:crossBetween val="between"/>
      </c:valAx>
    </c:plotArea>
    <c:legend>
      <c:legendPos val="r"/>
      <c:txPr>
        <a:bodyPr/>
        <a:lstStyle/>
        <a:p>
          <a:pPr>
            <a:defRPr sz="7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South Cambridgeshire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9.8100322580645276</c:v>
                </c:pt>
                <c:pt idx="1">
                  <c:v>10</c:v>
                </c:pt>
                <c:pt idx="2">
                  <c:v>10</c:v>
                </c:pt>
              </c:numCache>
            </c:numRef>
          </c:val>
        </c:ser>
        <c:axId val="151546112"/>
        <c:axId val="151560192"/>
      </c:barChart>
      <c:catAx>
        <c:axId val="151546112"/>
        <c:scaling>
          <c:orientation val="minMax"/>
        </c:scaling>
        <c:axPos val="b"/>
        <c:numFmt formatCode="General" sourceLinked="1"/>
        <c:tickLblPos val="nextTo"/>
        <c:crossAx val="151560192"/>
        <c:crosses val="autoZero"/>
        <c:auto val="1"/>
        <c:lblAlgn val="ctr"/>
        <c:lblOffset val="100"/>
      </c:catAx>
      <c:valAx>
        <c:axId val="151560192"/>
        <c:scaling>
          <c:orientation val="minMax"/>
        </c:scaling>
        <c:axPos val="l"/>
        <c:majorGridlines/>
        <c:numFmt formatCode="General" sourceLinked="1"/>
        <c:tickLblPos val="nextTo"/>
        <c:crossAx val="151546112"/>
        <c:crosses val="autoZero"/>
        <c:crossBetween val="between"/>
      </c:valAx>
    </c:plotArea>
    <c:legend>
      <c:legendPos val="r"/>
      <c:txPr>
        <a:bodyPr/>
        <a:lstStyle/>
        <a:p>
          <a:pPr>
            <a:defRPr sz="7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South Cambridgeshire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15.2321129932073</c:v>
                </c:pt>
                <c:pt idx="1">
                  <c:v>14.4930684752854</c:v>
                </c:pt>
                <c:pt idx="2">
                  <c:v>15.413099484000099</c:v>
                </c:pt>
              </c:numCache>
            </c:numRef>
          </c:val>
        </c:ser>
        <c:marker val="1"/>
        <c:axId val="149357696"/>
        <c:axId val="149359232"/>
      </c:lineChart>
      <c:catAx>
        <c:axId val="149357696"/>
        <c:scaling>
          <c:orientation val="minMax"/>
        </c:scaling>
        <c:axPos val="b"/>
        <c:numFmt formatCode="General" sourceLinked="1"/>
        <c:tickLblPos val="nextTo"/>
        <c:crossAx val="149359232"/>
        <c:crosses val="autoZero"/>
        <c:auto val="1"/>
        <c:lblAlgn val="ctr"/>
        <c:lblOffset val="100"/>
      </c:catAx>
      <c:valAx>
        <c:axId val="14935923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57696"/>
        <c:crosses val="autoZero"/>
        <c:crossBetween val="between"/>
      </c:valAx>
    </c:plotArea>
    <c:legend>
      <c:legendPos val="r"/>
      <c:txPr>
        <a:bodyPr/>
        <a:lstStyle/>
        <a:p>
          <a:pPr>
            <a:defRPr sz="7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South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35.579836445048194</c:v>
                </c:pt>
                <c:pt idx="1">
                  <c:v>37.500432028507412</c:v>
                </c:pt>
                <c:pt idx="2">
                  <c:v>38.316784898860796</c:v>
                </c:pt>
              </c:numCache>
            </c:numRef>
          </c:val>
        </c:ser>
        <c:marker val="1"/>
        <c:axId val="151456000"/>
        <c:axId val="151465984"/>
      </c:lineChart>
      <c:catAx>
        <c:axId val="151456000"/>
        <c:scaling>
          <c:orientation val="minMax"/>
        </c:scaling>
        <c:axPos val="b"/>
        <c:numFmt formatCode="General" sourceLinked="1"/>
        <c:tickLblPos val="nextTo"/>
        <c:crossAx val="151465984"/>
        <c:crosses val="autoZero"/>
        <c:auto val="1"/>
        <c:lblAlgn val="ctr"/>
        <c:lblOffset val="100"/>
      </c:catAx>
      <c:valAx>
        <c:axId val="1514659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56000"/>
        <c:crosses val="autoZero"/>
        <c:crossBetween val="between"/>
      </c:valAx>
    </c:plotArea>
    <c:legend>
      <c:legendPos val="r"/>
      <c:txPr>
        <a:bodyPr/>
        <a:lstStyle/>
        <a:p>
          <a:pPr>
            <a:defRPr sz="7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South Cambridgeshire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0.4297580645161288</c:v>
                </c:pt>
                <c:pt idx="1">
                  <c:v>0.30817210786103122</c:v>
                </c:pt>
                <c:pt idx="2">
                  <c:v>0.2837090000000001</c:v>
                </c:pt>
              </c:numCache>
            </c:numRef>
          </c:val>
        </c:ser>
        <c:axId val="151509632"/>
        <c:axId val="151519616"/>
      </c:barChart>
      <c:catAx>
        <c:axId val="151509632"/>
        <c:scaling>
          <c:orientation val="minMax"/>
        </c:scaling>
        <c:axPos val="b"/>
        <c:numFmt formatCode="General" sourceLinked="1"/>
        <c:tickLblPos val="nextTo"/>
        <c:crossAx val="151519616"/>
        <c:crosses val="autoZero"/>
        <c:auto val="1"/>
        <c:lblAlgn val="ctr"/>
        <c:lblOffset val="100"/>
      </c:catAx>
      <c:valAx>
        <c:axId val="151519616"/>
        <c:scaling>
          <c:orientation val="minMax"/>
        </c:scaling>
        <c:axPos val="l"/>
        <c:majorGridlines/>
        <c:numFmt formatCode="General" sourceLinked="1"/>
        <c:tickLblPos val="nextTo"/>
        <c:txPr>
          <a:bodyPr/>
          <a:lstStyle/>
          <a:p>
            <a:pPr>
              <a:defRPr sz="800"/>
            </a:pPr>
            <a:endParaRPr lang="en-US"/>
          </a:p>
        </c:txPr>
        <c:crossAx val="151509632"/>
        <c:crosses val="autoZero"/>
        <c:crossBetween val="between"/>
      </c:valAx>
    </c:plotArea>
    <c:legend>
      <c:legendPos val="r"/>
      <c:txPr>
        <a:bodyPr/>
        <a:lstStyle/>
        <a:p>
          <a:pPr>
            <a:defRPr sz="7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South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37.188150192825866</c:v>
                </c:pt>
                <c:pt idx="1">
                  <c:v>37.277232064459511</c:v>
                </c:pt>
                <c:pt idx="2">
                  <c:v>37.571061437863044</c:v>
                </c:pt>
              </c:numCache>
            </c:numRef>
          </c:val>
        </c:ser>
        <c:marker val="1"/>
        <c:axId val="151607936"/>
        <c:axId val="151622016"/>
      </c:lineChart>
      <c:catAx>
        <c:axId val="151607936"/>
        <c:scaling>
          <c:orientation val="minMax"/>
        </c:scaling>
        <c:axPos val="b"/>
        <c:numFmt formatCode="General" sourceLinked="1"/>
        <c:tickLblPos val="nextTo"/>
        <c:crossAx val="151622016"/>
        <c:crosses val="autoZero"/>
        <c:auto val="1"/>
        <c:lblAlgn val="ctr"/>
        <c:lblOffset val="100"/>
      </c:catAx>
      <c:valAx>
        <c:axId val="151622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07936"/>
        <c:crosses val="autoZero"/>
        <c:crossBetween val="between"/>
      </c:valAx>
    </c:plotArea>
    <c:legend>
      <c:legendPos val="r"/>
      <c:txPr>
        <a:bodyPr/>
        <a:lstStyle/>
        <a:p>
          <a:pPr>
            <a:defRPr sz="7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South Cambridgeshire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0.83085483870967758</c:v>
                </c:pt>
                <c:pt idx="1">
                  <c:v>0.80989413874648941</c:v>
                </c:pt>
                <c:pt idx="2">
                  <c:v>0.79803000000000002</c:v>
                </c:pt>
              </c:numCache>
            </c:numRef>
          </c:val>
        </c:ser>
        <c:axId val="151649280"/>
        <c:axId val="151659264"/>
      </c:barChart>
      <c:catAx>
        <c:axId val="151649280"/>
        <c:scaling>
          <c:orientation val="minMax"/>
        </c:scaling>
        <c:axPos val="b"/>
        <c:numFmt formatCode="General" sourceLinked="1"/>
        <c:tickLblPos val="nextTo"/>
        <c:crossAx val="151659264"/>
        <c:crosses val="autoZero"/>
        <c:auto val="1"/>
        <c:lblAlgn val="ctr"/>
        <c:lblOffset val="100"/>
      </c:catAx>
      <c:valAx>
        <c:axId val="151659264"/>
        <c:scaling>
          <c:orientation val="minMax"/>
        </c:scaling>
        <c:axPos val="l"/>
        <c:majorGridlines/>
        <c:numFmt formatCode="General" sourceLinked="1"/>
        <c:tickLblPos val="nextTo"/>
        <c:txPr>
          <a:bodyPr/>
          <a:lstStyle/>
          <a:p>
            <a:pPr>
              <a:defRPr sz="800"/>
            </a:pPr>
            <a:endParaRPr lang="en-US"/>
          </a:p>
        </c:txPr>
        <c:crossAx val="151649280"/>
        <c:crosses val="autoZero"/>
        <c:crossBetween val="between"/>
      </c:valAx>
    </c:plotArea>
    <c:legend>
      <c:legendPos val="r"/>
      <c:txPr>
        <a:bodyPr/>
        <a:lstStyle/>
        <a:p>
          <a:pPr>
            <a:defRPr sz="7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South Cambridgeshire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18.708937807068502</c:v>
                </c:pt>
                <c:pt idx="1">
                  <c:v>18.487448320624686</c:v>
                </c:pt>
                <c:pt idx="2">
                  <c:v>19.59654013430568</c:v>
                </c:pt>
              </c:numCache>
            </c:numRef>
          </c:val>
        </c:ser>
        <c:marker val="1"/>
        <c:axId val="151686144"/>
        <c:axId val="151700224"/>
      </c:lineChart>
      <c:catAx>
        <c:axId val="151686144"/>
        <c:scaling>
          <c:orientation val="minMax"/>
        </c:scaling>
        <c:axPos val="b"/>
        <c:numFmt formatCode="General" sourceLinked="1"/>
        <c:tickLblPos val="nextTo"/>
        <c:crossAx val="151700224"/>
        <c:crosses val="autoZero"/>
        <c:auto val="1"/>
        <c:lblAlgn val="ctr"/>
        <c:lblOffset val="100"/>
      </c:catAx>
      <c:valAx>
        <c:axId val="1517002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86144"/>
        <c:crosses val="autoZero"/>
        <c:crossBetween val="between"/>
      </c:valAx>
    </c:plotArea>
    <c:legend>
      <c:legendPos val="r"/>
      <c:txPr>
        <a:bodyPr/>
        <a:lstStyle/>
        <a:p>
          <a:pPr>
            <a:defRPr sz="7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South Cambridgeshire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6.8425806451612861</c:v>
                </c:pt>
                <c:pt idx="1">
                  <c:v>6.12766835430984</c:v>
                </c:pt>
                <c:pt idx="2">
                  <c:v>5.5910099999999998</c:v>
                </c:pt>
              </c:numCache>
            </c:numRef>
          </c:val>
        </c:ser>
        <c:axId val="151739776"/>
        <c:axId val="151745664"/>
      </c:barChart>
      <c:catAx>
        <c:axId val="151739776"/>
        <c:scaling>
          <c:orientation val="minMax"/>
        </c:scaling>
        <c:axPos val="b"/>
        <c:numFmt formatCode="General" sourceLinked="1"/>
        <c:tickLblPos val="nextTo"/>
        <c:crossAx val="151745664"/>
        <c:crosses val="autoZero"/>
        <c:auto val="1"/>
        <c:lblAlgn val="ctr"/>
        <c:lblOffset val="100"/>
      </c:catAx>
      <c:valAx>
        <c:axId val="151745664"/>
        <c:scaling>
          <c:orientation val="minMax"/>
        </c:scaling>
        <c:axPos val="l"/>
        <c:majorGridlines/>
        <c:numFmt formatCode="General" sourceLinked="1"/>
        <c:tickLblPos val="nextTo"/>
        <c:txPr>
          <a:bodyPr/>
          <a:lstStyle/>
          <a:p>
            <a:pPr>
              <a:defRPr sz="800"/>
            </a:pPr>
            <a:endParaRPr lang="en-US"/>
          </a:p>
        </c:txPr>
        <c:crossAx val="151739776"/>
        <c:crosses val="autoZero"/>
        <c:crossBetween val="between"/>
      </c:valAx>
    </c:plotArea>
    <c:legend>
      <c:legendPos val="r"/>
      <c:txPr>
        <a:bodyPr/>
        <a:lstStyle/>
        <a:p>
          <a:pPr>
            <a:defRPr sz="7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Cambridgeshire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4403</c:v>
                </c:pt>
                <c:pt idx="1">
                  <c:v>4472</c:v>
                </c:pt>
                <c:pt idx="2">
                  <c:v>4606</c:v>
                </c:pt>
                <c:pt idx="3">
                  <c:v>4755</c:v>
                </c:pt>
                <c:pt idx="4">
                  <c:v>4895</c:v>
                </c:pt>
              </c:numCache>
            </c:numRef>
          </c:val>
        </c:ser>
        <c:marker val="1"/>
        <c:axId val="151778432"/>
        <c:axId val="151779968"/>
      </c:lineChart>
      <c:catAx>
        <c:axId val="151778432"/>
        <c:scaling>
          <c:orientation val="minMax"/>
        </c:scaling>
        <c:axPos val="b"/>
        <c:numFmt formatCode="General" sourceLinked="1"/>
        <c:tickLblPos val="nextTo"/>
        <c:crossAx val="151779968"/>
        <c:crosses val="autoZero"/>
        <c:auto val="1"/>
        <c:lblAlgn val="ctr"/>
        <c:lblOffset val="100"/>
      </c:catAx>
      <c:valAx>
        <c:axId val="15177996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7843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Cambridgeshire</c:v>
                </c:pt>
              </c:strCache>
            </c:strRef>
          </c:tx>
          <c:spPr>
            <a:solidFill>
              <a:schemeClr val="tx1"/>
            </a:solidFill>
          </c:spPr>
          <c:val>
            <c:numRef>
              <c:f>Sheet1!$R$180:$V$180</c:f>
              <c:numCache>
                <c:formatCode>General</c:formatCode>
                <c:ptCount val="5"/>
                <c:pt idx="0">
                  <c:v>7034.5801619407321</c:v>
                </c:pt>
                <c:pt idx="1">
                  <c:v>7110.6249145357633</c:v>
                </c:pt>
                <c:pt idx="2">
                  <c:v>7251.4192693163914</c:v>
                </c:pt>
                <c:pt idx="3">
                  <c:v>7412.0375854995291</c:v>
                </c:pt>
                <c:pt idx="4">
                  <c:v>7594.1511848892733</c:v>
                </c:pt>
              </c:numCache>
            </c:numRef>
          </c:val>
        </c:ser>
        <c:axId val="151811968"/>
        <c:axId val="15181350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1811968"/>
        <c:axId val="151813504"/>
      </c:lineChart>
      <c:catAx>
        <c:axId val="151811968"/>
        <c:scaling>
          <c:orientation val="minMax"/>
        </c:scaling>
        <c:axPos val="b"/>
        <c:tickLblPos val="nextTo"/>
        <c:crossAx val="151813504"/>
        <c:crosses val="autoZero"/>
        <c:auto val="1"/>
        <c:lblAlgn val="ctr"/>
        <c:lblOffset val="100"/>
      </c:catAx>
      <c:valAx>
        <c:axId val="15181350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119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Cambridgeshire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3380</c:v>
                </c:pt>
                <c:pt idx="1">
                  <c:v>3431</c:v>
                </c:pt>
                <c:pt idx="2">
                  <c:v>3519</c:v>
                </c:pt>
                <c:pt idx="3">
                  <c:v>3604</c:v>
                </c:pt>
                <c:pt idx="4">
                  <c:v>3687</c:v>
                </c:pt>
              </c:numCache>
            </c:numRef>
          </c:val>
        </c:ser>
        <c:marker val="1"/>
        <c:axId val="151924736"/>
        <c:axId val="151926272"/>
      </c:lineChart>
      <c:catAx>
        <c:axId val="151924736"/>
        <c:scaling>
          <c:orientation val="minMax"/>
        </c:scaling>
        <c:axPos val="b"/>
        <c:numFmt formatCode="General" sourceLinked="1"/>
        <c:tickLblPos val="nextTo"/>
        <c:crossAx val="151926272"/>
        <c:crosses val="autoZero"/>
        <c:auto val="1"/>
        <c:lblAlgn val="ctr"/>
        <c:lblOffset val="100"/>
      </c:catAx>
      <c:valAx>
        <c:axId val="15192627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2473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Cambridgeshire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5400.1546553167555</c:v>
                </c:pt>
                <c:pt idx="1">
                  <c:v>5455.4011810760703</c:v>
                </c:pt>
                <c:pt idx="2">
                  <c:v>5540.1095112297844</c:v>
                </c:pt>
                <c:pt idx="3">
                  <c:v>5617.8724412492747</c:v>
                </c:pt>
                <c:pt idx="4">
                  <c:v>5720.0480937051543</c:v>
                </c:pt>
              </c:numCache>
            </c:numRef>
          </c:val>
        </c:ser>
        <c:axId val="151970560"/>
        <c:axId val="15197209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1970560"/>
        <c:axId val="151972096"/>
      </c:lineChart>
      <c:catAx>
        <c:axId val="151970560"/>
        <c:scaling>
          <c:orientation val="minMax"/>
        </c:scaling>
        <c:axPos val="b"/>
        <c:numFmt formatCode="General" sourceLinked="1"/>
        <c:tickLblPos val="nextTo"/>
        <c:crossAx val="151972096"/>
        <c:crosses val="autoZero"/>
        <c:auto val="1"/>
        <c:lblAlgn val="ctr"/>
        <c:lblOffset val="100"/>
      </c:catAx>
      <c:valAx>
        <c:axId val="15197209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705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South Cambridgeshire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10.001990889808912</c:v>
                </c:pt>
                <c:pt idx="1">
                  <c:v>9.8183489360053695</c:v>
                </c:pt>
                <c:pt idx="2">
                  <c:v>10.540020675693887</c:v>
                </c:pt>
              </c:numCache>
            </c:numRef>
          </c:val>
        </c:ser>
        <c:marker val="1"/>
        <c:axId val="149399040"/>
        <c:axId val="149400576"/>
      </c:lineChart>
      <c:catAx>
        <c:axId val="149399040"/>
        <c:scaling>
          <c:orientation val="minMax"/>
        </c:scaling>
        <c:axPos val="b"/>
        <c:numFmt formatCode="General" sourceLinked="1"/>
        <c:tickLblPos val="nextTo"/>
        <c:crossAx val="149400576"/>
        <c:crosses val="autoZero"/>
        <c:auto val="1"/>
        <c:lblAlgn val="ctr"/>
        <c:lblOffset val="100"/>
      </c:catAx>
      <c:valAx>
        <c:axId val="14940057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99040"/>
        <c:crosses val="autoZero"/>
        <c:crossBetween val="between"/>
      </c:valAx>
    </c:plotArea>
    <c:legend>
      <c:legendPos val="r"/>
      <c:txPr>
        <a:bodyPr/>
        <a:lstStyle/>
        <a:p>
          <a:pPr>
            <a:defRPr sz="7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Cambridgeshire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2348</c:v>
                </c:pt>
                <c:pt idx="1">
                  <c:v>2362</c:v>
                </c:pt>
                <c:pt idx="2">
                  <c:v>2445</c:v>
                </c:pt>
                <c:pt idx="3">
                  <c:v>2514</c:v>
                </c:pt>
                <c:pt idx="4">
                  <c:v>2567</c:v>
                </c:pt>
              </c:numCache>
            </c:numRef>
          </c:val>
        </c:ser>
        <c:marker val="1"/>
        <c:axId val="151874176"/>
        <c:axId val="151880064"/>
      </c:lineChart>
      <c:catAx>
        <c:axId val="151874176"/>
        <c:scaling>
          <c:orientation val="minMax"/>
        </c:scaling>
        <c:axPos val="b"/>
        <c:numFmt formatCode="General" sourceLinked="1"/>
        <c:tickLblPos val="nextTo"/>
        <c:crossAx val="151880064"/>
        <c:crosses val="autoZero"/>
        <c:auto val="1"/>
        <c:lblAlgn val="ctr"/>
        <c:lblOffset val="100"/>
      </c:catAx>
      <c:valAx>
        <c:axId val="15188006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7417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Cambridgeshire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3751.3500386638302</c:v>
                </c:pt>
                <c:pt idx="1">
                  <c:v>3755.6565402802912</c:v>
                </c:pt>
                <c:pt idx="2">
                  <c:v>3849.2661991920459</c:v>
                </c:pt>
                <c:pt idx="3">
                  <c:v>3918.7933732798792</c:v>
                </c:pt>
                <c:pt idx="4">
                  <c:v>3982.4690687662401</c:v>
                </c:pt>
              </c:numCache>
            </c:numRef>
          </c:val>
        </c:ser>
        <c:axId val="152051072"/>
        <c:axId val="15206924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2051072"/>
        <c:axId val="152069248"/>
      </c:lineChart>
      <c:catAx>
        <c:axId val="152051072"/>
        <c:scaling>
          <c:orientation val="minMax"/>
        </c:scaling>
        <c:axPos val="b"/>
        <c:numFmt formatCode="General" sourceLinked="1"/>
        <c:tickLblPos val="nextTo"/>
        <c:crossAx val="152069248"/>
        <c:crosses val="autoZero"/>
        <c:auto val="1"/>
        <c:lblAlgn val="ctr"/>
        <c:lblOffset val="100"/>
      </c:catAx>
      <c:valAx>
        <c:axId val="15206924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510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Cambridgeshire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4104</c:v>
                </c:pt>
                <c:pt idx="1">
                  <c:v>4170</c:v>
                </c:pt>
                <c:pt idx="2">
                  <c:v>4288</c:v>
                </c:pt>
                <c:pt idx="3">
                  <c:v>4396</c:v>
                </c:pt>
                <c:pt idx="4">
                  <c:v>4491</c:v>
                </c:pt>
              </c:numCache>
            </c:numRef>
          </c:val>
        </c:ser>
        <c:marker val="1"/>
        <c:axId val="152092672"/>
        <c:axId val="152094208"/>
      </c:lineChart>
      <c:catAx>
        <c:axId val="152092672"/>
        <c:scaling>
          <c:orientation val="minMax"/>
        </c:scaling>
        <c:axPos val="b"/>
        <c:numFmt formatCode="General" sourceLinked="1"/>
        <c:tickLblPos val="nextTo"/>
        <c:crossAx val="152094208"/>
        <c:crosses val="autoZero"/>
        <c:auto val="1"/>
        <c:lblAlgn val="ctr"/>
        <c:lblOffset val="100"/>
      </c:catAx>
      <c:valAx>
        <c:axId val="15209420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9267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Cambridgeshire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2</c:v>
                </c:pt>
                <c:pt idx="3">
                  <c:v>2</c:v>
                </c:pt>
                <c:pt idx="4">
                  <c:v>3</c:v>
                </c:pt>
              </c:numCache>
            </c:numRef>
          </c:val>
        </c:ser>
        <c:axId val="152163072"/>
        <c:axId val="15216460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2163072"/>
        <c:axId val="152164608"/>
      </c:lineChart>
      <c:catAx>
        <c:axId val="152163072"/>
        <c:scaling>
          <c:orientation val="minMax"/>
        </c:scaling>
        <c:axPos val="b"/>
        <c:tickLblPos val="nextTo"/>
        <c:crossAx val="152164608"/>
        <c:crosses val="autoZero"/>
        <c:auto val="1"/>
        <c:lblAlgn val="ctr"/>
        <c:lblOffset val="100"/>
      </c:catAx>
      <c:valAx>
        <c:axId val="15216460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21630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Cambridgeshire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5</c:v>
                </c:pt>
                <c:pt idx="1">
                  <c:v>5</c:v>
                </c:pt>
                <c:pt idx="2">
                  <c:v>6</c:v>
                </c:pt>
                <c:pt idx="3">
                  <c:v>6</c:v>
                </c:pt>
                <c:pt idx="4">
                  <c:v>6</c:v>
                </c:pt>
              </c:numCache>
            </c:numRef>
          </c:val>
        </c:ser>
        <c:axId val="152208896"/>
        <c:axId val="15221043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2208896"/>
        <c:axId val="152210432"/>
      </c:lineChart>
      <c:catAx>
        <c:axId val="152208896"/>
        <c:scaling>
          <c:orientation val="minMax"/>
        </c:scaling>
        <c:axPos val="b"/>
        <c:tickLblPos val="nextTo"/>
        <c:crossAx val="152210432"/>
        <c:crosses val="autoZero"/>
        <c:auto val="1"/>
        <c:lblAlgn val="ctr"/>
        <c:lblOffset val="100"/>
      </c:catAx>
      <c:valAx>
        <c:axId val="1522104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22088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Cambridgeshire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25</c:v>
                </c:pt>
                <c:pt idx="1">
                  <c:v>31</c:v>
                </c:pt>
                <c:pt idx="2">
                  <c:v>27</c:v>
                </c:pt>
                <c:pt idx="3">
                  <c:v>33</c:v>
                </c:pt>
                <c:pt idx="4">
                  <c:v>22</c:v>
                </c:pt>
              </c:numCache>
            </c:numRef>
          </c:val>
        </c:ser>
        <c:axId val="152312832"/>
        <c:axId val="15231872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2312832"/>
        <c:axId val="152318720"/>
      </c:lineChart>
      <c:catAx>
        <c:axId val="152312832"/>
        <c:scaling>
          <c:orientation val="minMax"/>
        </c:scaling>
        <c:axPos val="b"/>
        <c:tickLblPos val="nextTo"/>
        <c:crossAx val="152318720"/>
        <c:crosses val="autoZero"/>
        <c:auto val="1"/>
        <c:lblAlgn val="ctr"/>
        <c:lblOffset val="100"/>
      </c:catAx>
      <c:valAx>
        <c:axId val="152318720"/>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52312832"/>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Cambridgeshire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32.6</c:v>
                </c:pt>
                <c:pt idx="1">
                  <c:v>32.4</c:v>
                </c:pt>
                <c:pt idx="2">
                  <c:v>31.9</c:v>
                </c:pt>
              </c:numCache>
            </c:numRef>
          </c:val>
        </c:ser>
        <c:marker val="1"/>
        <c:axId val="152370176"/>
        <c:axId val="152249088"/>
      </c:lineChart>
      <c:catAx>
        <c:axId val="152370176"/>
        <c:scaling>
          <c:orientation val="minMax"/>
        </c:scaling>
        <c:axPos val="b"/>
        <c:numFmt formatCode="General" sourceLinked="1"/>
        <c:tickLblPos val="nextTo"/>
        <c:crossAx val="152249088"/>
        <c:crosses val="autoZero"/>
        <c:auto val="1"/>
        <c:lblAlgn val="ctr"/>
        <c:lblOffset val="100"/>
      </c:catAx>
      <c:valAx>
        <c:axId val="152249088"/>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2370176"/>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Cambridgeshire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27.3</c:v>
                </c:pt>
                <c:pt idx="1">
                  <c:v>27.6</c:v>
                </c:pt>
                <c:pt idx="2">
                  <c:v>30.1</c:v>
                </c:pt>
              </c:numCache>
            </c:numRef>
          </c:val>
        </c:ser>
        <c:marker val="1"/>
        <c:axId val="152273280"/>
        <c:axId val="152274816"/>
      </c:lineChart>
      <c:catAx>
        <c:axId val="152273280"/>
        <c:scaling>
          <c:orientation val="minMax"/>
        </c:scaling>
        <c:axPos val="b"/>
        <c:numFmt formatCode="General" sourceLinked="1"/>
        <c:tickLblPos val="nextTo"/>
        <c:crossAx val="152274816"/>
        <c:crosses val="autoZero"/>
        <c:auto val="1"/>
        <c:lblAlgn val="ctr"/>
        <c:lblOffset val="100"/>
      </c:catAx>
      <c:valAx>
        <c:axId val="15227481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227328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South Cambridgeshire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82.504225517294643</c:v>
                </c:pt>
                <c:pt idx="1">
                  <c:v>73.731993187054783</c:v>
                </c:pt>
                <c:pt idx="2">
                  <c:v>50.534004595569549</c:v>
                </c:pt>
                <c:pt idx="3">
                  <c:v>36.40320974206923</c:v>
                </c:pt>
              </c:numCache>
            </c:numRef>
          </c:val>
        </c:ser>
        <c:axId val="152457984"/>
        <c:axId val="152459520"/>
      </c:barChart>
      <c:catAx>
        <c:axId val="152457984"/>
        <c:scaling>
          <c:orientation val="minMax"/>
        </c:scaling>
        <c:axPos val="b"/>
        <c:tickLblPos val="nextTo"/>
        <c:txPr>
          <a:bodyPr/>
          <a:lstStyle/>
          <a:p>
            <a:pPr>
              <a:defRPr sz="800"/>
            </a:pPr>
            <a:endParaRPr lang="en-US"/>
          </a:p>
        </c:txPr>
        <c:crossAx val="152459520"/>
        <c:crosses val="autoZero"/>
        <c:auto val="1"/>
        <c:lblAlgn val="ctr"/>
        <c:lblOffset val="100"/>
      </c:catAx>
      <c:valAx>
        <c:axId val="15245952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45798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South Cambridgeshire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32.315042875354209</c:v>
                </c:pt>
                <c:pt idx="1">
                  <c:v>23.081853518475409</c:v>
                </c:pt>
                <c:pt idx="2">
                  <c:v>10.087315153081652</c:v>
                </c:pt>
                <c:pt idx="3">
                  <c:v>7.5610932153286958</c:v>
                </c:pt>
              </c:numCache>
            </c:numRef>
          </c:val>
        </c:ser>
        <c:axId val="152499328"/>
        <c:axId val="152500864"/>
      </c:barChart>
      <c:catAx>
        <c:axId val="152499328"/>
        <c:scaling>
          <c:orientation val="minMax"/>
        </c:scaling>
        <c:axPos val="b"/>
        <c:numFmt formatCode="General" sourceLinked="1"/>
        <c:tickLblPos val="nextTo"/>
        <c:txPr>
          <a:bodyPr/>
          <a:lstStyle/>
          <a:p>
            <a:pPr>
              <a:defRPr sz="800"/>
            </a:pPr>
            <a:endParaRPr lang="en-US"/>
          </a:p>
        </c:txPr>
        <c:crossAx val="152500864"/>
        <c:crosses val="autoZero"/>
        <c:auto val="1"/>
        <c:lblAlgn val="ctr"/>
        <c:lblOffset val="100"/>
      </c:catAx>
      <c:valAx>
        <c:axId val="1525008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49932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South Cambridgeshire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40.7046027451265</c:v>
                </c:pt>
                <c:pt idx="1">
                  <c:v>41.7028149515506</c:v>
                </c:pt>
                <c:pt idx="2">
                  <c:v>41.77549630646115</c:v>
                </c:pt>
              </c:numCache>
            </c:numRef>
          </c:val>
        </c:ser>
        <c:marker val="1"/>
        <c:axId val="149501824"/>
        <c:axId val="149503360"/>
      </c:lineChart>
      <c:catAx>
        <c:axId val="149501824"/>
        <c:scaling>
          <c:orientation val="minMax"/>
        </c:scaling>
        <c:axPos val="b"/>
        <c:numFmt formatCode="General" sourceLinked="1"/>
        <c:tickLblPos val="nextTo"/>
        <c:crossAx val="149503360"/>
        <c:crosses val="autoZero"/>
        <c:auto val="1"/>
        <c:lblAlgn val="ctr"/>
        <c:lblOffset val="100"/>
      </c:catAx>
      <c:valAx>
        <c:axId val="14950336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01824"/>
        <c:crosses val="autoZero"/>
        <c:crossBetween val="between"/>
      </c:valAx>
    </c:plotArea>
    <c:legend>
      <c:legendPos val="r"/>
      <c:txPr>
        <a:bodyPr/>
        <a:lstStyle/>
        <a:p>
          <a:pPr>
            <a:defRPr sz="7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South Cambridgeshire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23.308166612002974</c:v>
                </c:pt>
                <c:pt idx="1">
                  <c:v>14.465174200424485</c:v>
                </c:pt>
                <c:pt idx="2">
                  <c:v>3.4669171491898165</c:v>
                </c:pt>
                <c:pt idx="3">
                  <c:v>2.63254420679023</c:v>
                </c:pt>
              </c:numCache>
            </c:numRef>
          </c:val>
        </c:ser>
        <c:axId val="152413696"/>
        <c:axId val="152415232"/>
      </c:barChart>
      <c:catAx>
        <c:axId val="152413696"/>
        <c:scaling>
          <c:orientation val="minMax"/>
        </c:scaling>
        <c:axPos val="b"/>
        <c:numFmt formatCode="General" sourceLinked="1"/>
        <c:tickLblPos val="nextTo"/>
        <c:txPr>
          <a:bodyPr/>
          <a:lstStyle/>
          <a:p>
            <a:pPr>
              <a:defRPr sz="800"/>
            </a:pPr>
            <a:endParaRPr lang="en-US"/>
          </a:p>
        </c:txPr>
        <c:crossAx val="152415232"/>
        <c:crosses val="autoZero"/>
        <c:auto val="1"/>
        <c:lblAlgn val="ctr"/>
        <c:lblOffset val="100"/>
      </c:catAx>
      <c:valAx>
        <c:axId val="15241523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41369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South Cambridgeshire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20.644734896162682</c:v>
                </c:pt>
                <c:pt idx="1">
                  <c:v>12.556182443282648</c:v>
                </c:pt>
                <c:pt idx="2">
                  <c:v>6.5742128986184909</c:v>
                </c:pt>
                <c:pt idx="3">
                  <c:v>5.0337629716594501</c:v>
                </c:pt>
              </c:numCache>
            </c:numRef>
          </c:val>
        </c:ser>
        <c:axId val="152528768"/>
        <c:axId val="152530304"/>
      </c:barChart>
      <c:catAx>
        <c:axId val="152528768"/>
        <c:scaling>
          <c:orientation val="minMax"/>
        </c:scaling>
        <c:axPos val="b"/>
        <c:numFmt formatCode="General" sourceLinked="1"/>
        <c:tickLblPos val="nextTo"/>
        <c:txPr>
          <a:bodyPr/>
          <a:lstStyle/>
          <a:p>
            <a:pPr>
              <a:defRPr sz="800"/>
            </a:pPr>
            <a:endParaRPr lang="en-US"/>
          </a:p>
        </c:txPr>
        <c:crossAx val="152530304"/>
        <c:crosses val="autoZero"/>
        <c:auto val="1"/>
        <c:lblAlgn val="ctr"/>
        <c:lblOffset val="100"/>
      </c:catAx>
      <c:valAx>
        <c:axId val="1525303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52876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South Cambridgeshire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79.395354159339178</c:v>
                </c:pt>
                <c:pt idx="1">
                  <c:v>68.791632164004255</c:v>
                </c:pt>
                <c:pt idx="2">
                  <c:v>43.085400942040934</c:v>
                </c:pt>
                <c:pt idx="3">
                  <c:v>28.393122446930292</c:v>
                </c:pt>
              </c:numCache>
            </c:numRef>
          </c:val>
        </c:ser>
        <c:axId val="152643840"/>
        <c:axId val="152649728"/>
      </c:barChart>
      <c:catAx>
        <c:axId val="152643840"/>
        <c:scaling>
          <c:orientation val="minMax"/>
        </c:scaling>
        <c:axPos val="b"/>
        <c:numFmt formatCode="General" sourceLinked="1"/>
        <c:tickLblPos val="nextTo"/>
        <c:txPr>
          <a:bodyPr/>
          <a:lstStyle/>
          <a:p>
            <a:pPr>
              <a:defRPr sz="800"/>
            </a:pPr>
            <a:endParaRPr lang="en-US"/>
          </a:p>
        </c:txPr>
        <c:crossAx val="152649728"/>
        <c:crosses val="autoZero"/>
        <c:auto val="1"/>
        <c:lblAlgn val="ctr"/>
        <c:lblOffset val="100"/>
      </c:catAx>
      <c:valAx>
        <c:axId val="1526497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64384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South Cambridgeshire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65.321775874191175</c:v>
                </c:pt>
                <c:pt idx="1">
                  <c:v>50.810315212485094</c:v>
                </c:pt>
                <c:pt idx="2">
                  <c:v>23.615999498331828</c:v>
                </c:pt>
                <c:pt idx="3">
                  <c:v>14.312377998213552</c:v>
                </c:pt>
              </c:numCache>
            </c:numRef>
          </c:val>
        </c:ser>
        <c:axId val="152681088"/>
        <c:axId val="152568192"/>
      </c:barChart>
      <c:catAx>
        <c:axId val="152681088"/>
        <c:scaling>
          <c:orientation val="minMax"/>
        </c:scaling>
        <c:axPos val="b"/>
        <c:numFmt formatCode="General" sourceLinked="1"/>
        <c:tickLblPos val="nextTo"/>
        <c:txPr>
          <a:bodyPr/>
          <a:lstStyle/>
          <a:p>
            <a:pPr>
              <a:defRPr sz="800"/>
            </a:pPr>
            <a:endParaRPr lang="en-US"/>
          </a:p>
        </c:txPr>
        <c:crossAx val="152568192"/>
        <c:crosses val="autoZero"/>
        <c:auto val="1"/>
        <c:lblAlgn val="ctr"/>
        <c:lblOffset val="100"/>
      </c:catAx>
      <c:valAx>
        <c:axId val="15256819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68108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South Cambridgeshire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52.039576671501599</c:v>
                </c:pt>
                <c:pt idx="1">
                  <c:v>40.535604735188194</c:v>
                </c:pt>
                <c:pt idx="2">
                  <c:v>21.219500765252551</c:v>
                </c:pt>
                <c:pt idx="3">
                  <c:v>13.186912803514241</c:v>
                </c:pt>
              </c:numCache>
            </c:numRef>
          </c:val>
        </c:ser>
        <c:axId val="152632320"/>
        <c:axId val="152699648"/>
      </c:barChart>
      <c:catAx>
        <c:axId val="152632320"/>
        <c:scaling>
          <c:orientation val="minMax"/>
        </c:scaling>
        <c:axPos val="b"/>
        <c:numFmt formatCode="General" sourceLinked="1"/>
        <c:tickLblPos val="nextTo"/>
        <c:txPr>
          <a:bodyPr/>
          <a:lstStyle/>
          <a:p>
            <a:pPr>
              <a:defRPr sz="800"/>
            </a:pPr>
            <a:endParaRPr lang="en-US"/>
          </a:p>
        </c:txPr>
        <c:crossAx val="152699648"/>
        <c:crosses val="autoZero"/>
        <c:auto val="1"/>
        <c:lblAlgn val="ctr"/>
        <c:lblOffset val="100"/>
      </c:catAx>
      <c:valAx>
        <c:axId val="1526996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63232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South Cambridgeshire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43.44981945691795</c:v>
                </c:pt>
                <c:pt idx="1">
                  <c:v>43.434605935466394</c:v>
                </c:pt>
                <c:pt idx="2">
                  <c:v>44.116799021126198</c:v>
                </c:pt>
              </c:numCache>
            </c:numRef>
          </c:val>
        </c:ser>
        <c:marker val="1"/>
        <c:axId val="149440768"/>
        <c:axId val="149446656"/>
      </c:lineChart>
      <c:catAx>
        <c:axId val="149440768"/>
        <c:scaling>
          <c:orientation val="minMax"/>
        </c:scaling>
        <c:axPos val="b"/>
        <c:numFmt formatCode="General" sourceLinked="1"/>
        <c:tickLblPos val="nextTo"/>
        <c:crossAx val="149446656"/>
        <c:crosses val="autoZero"/>
        <c:auto val="1"/>
        <c:lblAlgn val="ctr"/>
        <c:lblOffset val="100"/>
      </c:catAx>
      <c:valAx>
        <c:axId val="14944665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40768"/>
        <c:crosses val="autoZero"/>
        <c:crossBetween val="between"/>
      </c:valAx>
    </c:plotArea>
    <c:legend>
      <c:legendPos val="r"/>
      <c:txPr>
        <a:bodyPr/>
        <a:lstStyle/>
        <a:p>
          <a:pPr>
            <a:defRPr sz="7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South Cambridgeshire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19.307116989804001</c:v>
                </c:pt>
                <c:pt idx="1">
                  <c:v>20.698530576681769</c:v>
                </c:pt>
                <c:pt idx="2">
                  <c:v>20.835927941928286</c:v>
                </c:pt>
              </c:numCache>
            </c:numRef>
          </c:val>
        </c:ser>
        <c:marker val="1"/>
        <c:axId val="149473920"/>
        <c:axId val="149553536"/>
      </c:lineChart>
      <c:catAx>
        <c:axId val="149473920"/>
        <c:scaling>
          <c:orientation val="minMax"/>
        </c:scaling>
        <c:axPos val="b"/>
        <c:numFmt formatCode="General" sourceLinked="1"/>
        <c:tickLblPos val="nextTo"/>
        <c:crossAx val="149553536"/>
        <c:crosses val="autoZero"/>
        <c:auto val="1"/>
        <c:lblAlgn val="ctr"/>
        <c:lblOffset val="100"/>
      </c:catAx>
      <c:valAx>
        <c:axId val="14955353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73920"/>
        <c:crosses val="autoZero"/>
        <c:crossBetween val="between"/>
      </c:valAx>
    </c:plotArea>
    <c:legend>
      <c:legendPos val="r"/>
      <c:txPr>
        <a:bodyPr/>
        <a:lstStyle/>
        <a:p>
          <a:pPr>
            <a:defRPr sz="7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25ACB-0883-4650-84ED-DA784967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2018-06-28T09:27:00Z</dcterms:created>
  <dcterms:modified xsi:type="dcterms:W3CDTF">2018-07-16T08:40:00Z</dcterms:modified>
</cp:coreProperties>
</file>