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F72646">
      <w:r w:rsidRPr="00F72646">
        <w:rPr>
          <w:noProof/>
          <w:lang w:val="en-US" w:eastAsia="zh-TW"/>
        </w:rPr>
        <w:pict>
          <v:shapetype id="_x0000_t202" coordsize="21600,21600" o:spt="202" path="m,l,21600r21600,l21600,xe">
            <v:stroke joinstyle="miter"/>
            <v:path gradientshapeok="t" o:connecttype="rect"/>
          </v:shapetype>
          <v:shape id="_x0000_s1026" type="#_x0000_t202" style="position:absolute;margin-left:10132.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452B0C" w:rsidRPr="0054588F" w:rsidRDefault="005B3009" w:rsidP="004D3814">
                  <w:pPr>
                    <w:jc w:val="right"/>
                    <w:rPr>
                      <w:rFonts w:ascii="Segoe UI" w:hAnsi="Segoe UI" w:cs="Segoe UI"/>
                      <w:b/>
                      <w:sz w:val="48"/>
                      <w:szCs w:val="72"/>
                      <w:u w:val="single"/>
                    </w:rPr>
                  </w:pPr>
                  <w:r w:rsidRPr="0054588F">
                    <w:rPr>
                      <w:rFonts w:ascii="Segoe UI" w:hAnsi="Segoe UI" w:cs="Segoe UI"/>
                      <w:b/>
                      <w:sz w:val="48"/>
                      <w:szCs w:val="72"/>
                      <w:u w:val="single"/>
                    </w:rPr>
                    <w:t>S</w:t>
                  </w:r>
                  <w:r w:rsidR="00D032A8" w:rsidRPr="0054588F">
                    <w:rPr>
                      <w:rFonts w:ascii="Segoe UI" w:hAnsi="Segoe UI" w:cs="Segoe UI"/>
                      <w:b/>
                      <w:sz w:val="48"/>
                      <w:szCs w:val="72"/>
                      <w:u w:val="single"/>
                    </w:rPr>
                    <w:t xml:space="preserve">outh </w:t>
                  </w:r>
                  <w:r w:rsidR="00BC7186" w:rsidRPr="0054588F">
                    <w:rPr>
                      <w:rFonts w:ascii="Segoe UI" w:hAnsi="Segoe UI" w:cs="Segoe UI"/>
                      <w:b/>
                      <w:sz w:val="48"/>
                      <w:szCs w:val="72"/>
                      <w:u w:val="single"/>
                    </w:rPr>
                    <w:t>Nor</w:t>
                  </w:r>
                  <w:r w:rsidR="0054588F" w:rsidRPr="0054588F">
                    <w:rPr>
                      <w:rFonts w:ascii="Segoe UI" w:hAnsi="Segoe UI" w:cs="Segoe UI"/>
                      <w:b/>
                      <w:sz w:val="48"/>
                      <w:szCs w:val="72"/>
                      <w:u w:val="single"/>
                    </w:rPr>
                    <w:t>thamptonshire</w:t>
                  </w:r>
                  <w:r w:rsidR="00452B0C" w:rsidRPr="0054588F">
                    <w:rPr>
                      <w:rFonts w:ascii="Segoe UI" w:hAnsi="Segoe UI" w:cs="Segoe UI"/>
                      <w:b/>
                      <w:sz w:val="48"/>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F72646"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F72646"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F72646"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F72646"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F72646"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161AA5"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161AA5" w:rsidRDefault="00161AA5" w:rsidP="00161AA5">
            <w:pPr>
              <w:spacing w:after="100" w:afterAutospacing="1"/>
              <w:rPr>
                <w:rFonts w:ascii="Tahoma" w:hAnsi="Tahoma" w:cs="Tahoma"/>
                <w:color w:val="000000"/>
                <w:sz w:val="16"/>
                <w:szCs w:val="16"/>
              </w:rPr>
            </w:pPr>
            <w:r>
              <w:rPr>
                <w:rFonts w:ascii="Tahoma" w:hAnsi="Tahoma" w:cs="Tahoma"/>
                <w:color w:val="000000"/>
                <w:sz w:val="16"/>
                <w:szCs w:val="16"/>
              </w:rPr>
              <w:t>Northamptonshire</w:t>
            </w:r>
          </w:p>
        </w:tc>
        <w:tc>
          <w:tcPr>
            <w:tcW w:w="1200" w:type="dxa"/>
            <w:tcBorders>
              <w:top w:val="nil"/>
              <w:left w:val="nil"/>
              <w:bottom w:val="single" w:sz="4" w:space="0" w:color="auto"/>
              <w:right w:val="single" w:sz="4" w:space="0" w:color="auto"/>
            </w:tcBorders>
            <w:shd w:val="clear" w:color="auto" w:fill="auto"/>
            <w:noWrap/>
            <w:vAlign w:val="bottom"/>
            <w:hideMark/>
          </w:tcPr>
          <w:p w:rsidR="00161AA5" w:rsidRDefault="00161AA5" w:rsidP="00161AA5">
            <w:pPr>
              <w:spacing w:after="100" w:afterAutospacing="1"/>
              <w:jc w:val="right"/>
              <w:rPr>
                <w:rFonts w:ascii="Tahoma" w:hAnsi="Tahoma" w:cs="Tahoma"/>
                <w:color w:val="000000"/>
                <w:sz w:val="16"/>
                <w:szCs w:val="16"/>
              </w:rPr>
            </w:pPr>
            <w:r>
              <w:rPr>
                <w:rFonts w:ascii="Tahoma" w:hAnsi="Tahoma" w:cs="Tahoma"/>
                <w:color w:val="000000"/>
                <w:sz w:val="16"/>
                <w:szCs w:val="16"/>
              </w:rPr>
              <w:t>5104</w:t>
            </w:r>
          </w:p>
        </w:tc>
        <w:tc>
          <w:tcPr>
            <w:tcW w:w="1200" w:type="dxa"/>
            <w:tcBorders>
              <w:top w:val="nil"/>
              <w:left w:val="nil"/>
              <w:bottom w:val="single" w:sz="4" w:space="0" w:color="auto"/>
              <w:right w:val="single" w:sz="4" w:space="0" w:color="auto"/>
            </w:tcBorders>
            <w:shd w:val="clear" w:color="auto" w:fill="auto"/>
            <w:noWrap/>
            <w:vAlign w:val="bottom"/>
            <w:hideMark/>
          </w:tcPr>
          <w:p w:rsidR="00161AA5" w:rsidRDefault="00161AA5" w:rsidP="00161AA5">
            <w:pPr>
              <w:spacing w:after="100" w:afterAutospacing="1"/>
              <w:jc w:val="right"/>
              <w:rPr>
                <w:rFonts w:ascii="Tahoma" w:hAnsi="Tahoma" w:cs="Tahoma"/>
                <w:color w:val="000000"/>
                <w:sz w:val="16"/>
                <w:szCs w:val="16"/>
              </w:rPr>
            </w:pPr>
            <w:r>
              <w:rPr>
                <w:rFonts w:ascii="Tahoma" w:hAnsi="Tahoma" w:cs="Tahoma"/>
                <w:color w:val="000000"/>
                <w:sz w:val="16"/>
                <w:szCs w:val="16"/>
              </w:rPr>
              <w:t>5138</w:t>
            </w:r>
          </w:p>
        </w:tc>
        <w:tc>
          <w:tcPr>
            <w:tcW w:w="1200" w:type="dxa"/>
            <w:tcBorders>
              <w:top w:val="nil"/>
              <w:left w:val="nil"/>
              <w:bottom w:val="single" w:sz="4" w:space="0" w:color="auto"/>
              <w:right w:val="single" w:sz="4" w:space="0" w:color="auto"/>
            </w:tcBorders>
            <w:shd w:val="clear" w:color="auto" w:fill="auto"/>
            <w:noWrap/>
            <w:vAlign w:val="bottom"/>
            <w:hideMark/>
          </w:tcPr>
          <w:p w:rsidR="00161AA5" w:rsidRDefault="00161AA5" w:rsidP="00161AA5">
            <w:pPr>
              <w:spacing w:after="100" w:afterAutospacing="1"/>
              <w:jc w:val="right"/>
              <w:rPr>
                <w:rFonts w:ascii="Tahoma" w:hAnsi="Tahoma" w:cs="Tahoma"/>
                <w:color w:val="000000"/>
                <w:sz w:val="16"/>
                <w:szCs w:val="16"/>
              </w:rPr>
            </w:pPr>
            <w:r>
              <w:rPr>
                <w:rFonts w:ascii="Tahoma" w:hAnsi="Tahoma" w:cs="Tahoma"/>
                <w:color w:val="000000"/>
                <w:sz w:val="16"/>
                <w:szCs w:val="16"/>
              </w:rPr>
              <w:t>5253</w:t>
            </w:r>
          </w:p>
        </w:tc>
        <w:tc>
          <w:tcPr>
            <w:tcW w:w="1200" w:type="dxa"/>
            <w:tcBorders>
              <w:top w:val="nil"/>
              <w:left w:val="nil"/>
              <w:bottom w:val="single" w:sz="4" w:space="0" w:color="auto"/>
              <w:right w:val="single" w:sz="4" w:space="0" w:color="auto"/>
            </w:tcBorders>
            <w:shd w:val="clear" w:color="auto" w:fill="auto"/>
            <w:noWrap/>
            <w:vAlign w:val="bottom"/>
            <w:hideMark/>
          </w:tcPr>
          <w:p w:rsidR="00161AA5" w:rsidRDefault="00161AA5" w:rsidP="00161AA5">
            <w:pPr>
              <w:spacing w:after="100" w:afterAutospacing="1"/>
              <w:jc w:val="right"/>
              <w:rPr>
                <w:rFonts w:ascii="Tahoma" w:hAnsi="Tahoma" w:cs="Tahoma"/>
                <w:color w:val="000000"/>
                <w:sz w:val="16"/>
                <w:szCs w:val="16"/>
              </w:rPr>
            </w:pPr>
            <w:r>
              <w:rPr>
                <w:rFonts w:ascii="Tahoma" w:hAnsi="Tahoma" w:cs="Tahoma"/>
                <w:color w:val="000000"/>
                <w:sz w:val="16"/>
                <w:szCs w:val="16"/>
              </w:rPr>
              <w:t>5369</w:t>
            </w:r>
          </w:p>
        </w:tc>
        <w:tc>
          <w:tcPr>
            <w:tcW w:w="1200" w:type="dxa"/>
            <w:tcBorders>
              <w:top w:val="nil"/>
              <w:left w:val="nil"/>
              <w:bottom w:val="single" w:sz="4" w:space="0" w:color="auto"/>
              <w:right w:val="single" w:sz="4" w:space="0" w:color="auto"/>
            </w:tcBorders>
            <w:shd w:val="clear" w:color="auto" w:fill="auto"/>
            <w:noWrap/>
            <w:vAlign w:val="bottom"/>
            <w:hideMark/>
          </w:tcPr>
          <w:p w:rsidR="00161AA5" w:rsidRDefault="00161AA5" w:rsidP="00161AA5">
            <w:pPr>
              <w:spacing w:after="100" w:afterAutospacing="1"/>
              <w:jc w:val="right"/>
              <w:rPr>
                <w:rFonts w:ascii="Tahoma" w:hAnsi="Tahoma" w:cs="Tahoma"/>
                <w:color w:val="000000"/>
                <w:sz w:val="16"/>
                <w:szCs w:val="16"/>
              </w:rPr>
            </w:pPr>
            <w:r>
              <w:rPr>
                <w:rFonts w:ascii="Tahoma" w:hAnsi="Tahoma" w:cs="Tahoma"/>
                <w:color w:val="000000"/>
                <w:sz w:val="16"/>
                <w:szCs w:val="16"/>
              </w:rPr>
              <w:t>5468</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161AA5"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161AA5" w:rsidRDefault="00161AA5" w:rsidP="00161AA5">
            <w:pPr>
              <w:spacing w:after="100" w:afterAutospacing="1"/>
              <w:rPr>
                <w:rFonts w:ascii="Tahoma" w:hAnsi="Tahoma" w:cs="Tahoma"/>
                <w:color w:val="000000"/>
                <w:sz w:val="16"/>
                <w:szCs w:val="16"/>
              </w:rPr>
            </w:pPr>
            <w:r>
              <w:rPr>
                <w:rFonts w:ascii="Tahoma" w:hAnsi="Tahoma" w:cs="Tahoma"/>
                <w:color w:val="000000"/>
                <w:sz w:val="16"/>
                <w:szCs w:val="16"/>
              </w:rPr>
              <w:t>Northamptonshire</w:t>
            </w:r>
          </w:p>
        </w:tc>
        <w:tc>
          <w:tcPr>
            <w:tcW w:w="1200" w:type="dxa"/>
            <w:tcBorders>
              <w:top w:val="nil"/>
              <w:left w:val="nil"/>
              <w:bottom w:val="single" w:sz="4" w:space="0" w:color="auto"/>
              <w:right w:val="single" w:sz="4" w:space="0" w:color="auto"/>
            </w:tcBorders>
            <w:shd w:val="clear" w:color="auto" w:fill="auto"/>
            <w:noWrap/>
            <w:vAlign w:val="bottom"/>
            <w:hideMark/>
          </w:tcPr>
          <w:p w:rsidR="00161AA5" w:rsidRDefault="00161AA5" w:rsidP="00161AA5">
            <w:pPr>
              <w:spacing w:after="100" w:afterAutospacing="1"/>
              <w:jc w:val="right"/>
              <w:rPr>
                <w:rFonts w:ascii="Tahoma" w:hAnsi="Tahoma" w:cs="Tahoma"/>
                <w:color w:val="000000"/>
                <w:sz w:val="16"/>
                <w:szCs w:val="16"/>
              </w:rPr>
            </w:pPr>
            <w:r>
              <w:rPr>
                <w:rFonts w:ascii="Tahoma" w:hAnsi="Tahoma" w:cs="Tahoma"/>
                <w:color w:val="000000"/>
                <w:sz w:val="16"/>
                <w:szCs w:val="16"/>
              </w:rPr>
              <w:t>3937</w:t>
            </w:r>
          </w:p>
        </w:tc>
        <w:tc>
          <w:tcPr>
            <w:tcW w:w="1200" w:type="dxa"/>
            <w:tcBorders>
              <w:top w:val="nil"/>
              <w:left w:val="nil"/>
              <w:bottom w:val="single" w:sz="4" w:space="0" w:color="auto"/>
              <w:right w:val="single" w:sz="4" w:space="0" w:color="auto"/>
            </w:tcBorders>
            <w:shd w:val="clear" w:color="auto" w:fill="auto"/>
            <w:noWrap/>
            <w:vAlign w:val="bottom"/>
            <w:hideMark/>
          </w:tcPr>
          <w:p w:rsidR="00161AA5" w:rsidRDefault="00161AA5" w:rsidP="00161AA5">
            <w:pPr>
              <w:spacing w:after="100" w:afterAutospacing="1"/>
              <w:jc w:val="right"/>
              <w:rPr>
                <w:rFonts w:ascii="Tahoma" w:hAnsi="Tahoma" w:cs="Tahoma"/>
                <w:color w:val="000000"/>
                <w:sz w:val="16"/>
                <w:szCs w:val="16"/>
              </w:rPr>
            </w:pPr>
            <w:r>
              <w:rPr>
                <w:rFonts w:ascii="Tahoma" w:hAnsi="Tahoma" w:cs="Tahoma"/>
                <w:color w:val="000000"/>
                <w:sz w:val="16"/>
                <w:szCs w:val="16"/>
              </w:rPr>
              <w:t>3944</w:t>
            </w:r>
          </w:p>
        </w:tc>
        <w:tc>
          <w:tcPr>
            <w:tcW w:w="1200" w:type="dxa"/>
            <w:tcBorders>
              <w:top w:val="nil"/>
              <w:left w:val="nil"/>
              <w:bottom w:val="single" w:sz="4" w:space="0" w:color="auto"/>
              <w:right w:val="single" w:sz="4" w:space="0" w:color="auto"/>
            </w:tcBorders>
            <w:shd w:val="clear" w:color="auto" w:fill="auto"/>
            <w:noWrap/>
            <w:vAlign w:val="bottom"/>
            <w:hideMark/>
          </w:tcPr>
          <w:p w:rsidR="00161AA5" w:rsidRDefault="00161AA5" w:rsidP="00161AA5">
            <w:pPr>
              <w:spacing w:after="100" w:afterAutospacing="1"/>
              <w:jc w:val="right"/>
              <w:rPr>
                <w:rFonts w:ascii="Tahoma" w:hAnsi="Tahoma" w:cs="Tahoma"/>
                <w:color w:val="000000"/>
                <w:sz w:val="16"/>
                <w:szCs w:val="16"/>
              </w:rPr>
            </w:pPr>
            <w:r>
              <w:rPr>
                <w:rFonts w:ascii="Tahoma" w:hAnsi="Tahoma" w:cs="Tahoma"/>
                <w:color w:val="000000"/>
                <w:sz w:val="16"/>
                <w:szCs w:val="16"/>
              </w:rPr>
              <w:t>4012</w:t>
            </w:r>
          </w:p>
        </w:tc>
        <w:tc>
          <w:tcPr>
            <w:tcW w:w="1200" w:type="dxa"/>
            <w:tcBorders>
              <w:top w:val="nil"/>
              <w:left w:val="nil"/>
              <w:bottom w:val="single" w:sz="4" w:space="0" w:color="auto"/>
              <w:right w:val="single" w:sz="4" w:space="0" w:color="auto"/>
            </w:tcBorders>
            <w:shd w:val="clear" w:color="auto" w:fill="auto"/>
            <w:noWrap/>
            <w:vAlign w:val="bottom"/>
            <w:hideMark/>
          </w:tcPr>
          <w:p w:rsidR="00161AA5" w:rsidRDefault="00161AA5" w:rsidP="00161AA5">
            <w:pPr>
              <w:spacing w:after="100" w:afterAutospacing="1"/>
              <w:jc w:val="right"/>
              <w:rPr>
                <w:rFonts w:ascii="Tahoma" w:hAnsi="Tahoma" w:cs="Tahoma"/>
                <w:color w:val="000000"/>
                <w:sz w:val="16"/>
                <w:szCs w:val="16"/>
              </w:rPr>
            </w:pPr>
            <w:r>
              <w:rPr>
                <w:rFonts w:ascii="Tahoma" w:hAnsi="Tahoma" w:cs="Tahoma"/>
                <w:color w:val="000000"/>
                <w:sz w:val="16"/>
                <w:szCs w:val="16"/>
              </w:rPr>
              <w:t>4076</w:t>
            </w:r>
          </w:p>
        </w:tc>
        <w:tc>
          <w:tcPr>
            <w:tcW w:w="1200" w:type="dxa"/>
            <w:tcBorders>
              <w:top w:val="nil"/>
              <w:left w:val="nil"/>
              <w:bottom w:val="single" w:sz="4" w:space="0" w:color="auto"/>
              <w:right w:val="single" w:sz="4" w:space="0" w:color="auto"/>
            </w:tcBorders>
            <w:shd w:val="clear" w:color="auto" w:fill="auto"/>
            <w:noWrap/>
            <w:vAlign w:val="bottom"/>
            <w:hideMark/>
          </w:tcPr>
          <w:p w:rsidR="00161AA5" w:rsidRDefault="00161AA5" w:rsidP="00161AA5">
            <w:pPr>
              <w:spacing w:after="100" w:afterAutospacing="1"/>
              <w:jc w:val="right"/>
              <w:rPr>
                <w:rFonts w:ascii="Tahoma" w:hAnsi="Tahoma" w:cs="Tahoma"/>
                <w:color w:val="000000"/>
                <w:sz w:val="16"/>
                <w:szCs w:val="16"/>
              </w:rPr>
            </w:pPr>
            <w:r>
              <w:rPr>
                <w:rFonts w:ascii="Tahoma" w:hAnsi="Tahoma" w:cs="Tahoma"/>
                <w:color w:val="000000"/>
                <w:sz w:val="16"/>
                <w:szCs w:val="16"/>
              </w:rPr>
              <w:t>4132</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161AA5"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161AA5" w:rsidRDefault="00161AA5" w:rsidP="00161AA5">
            <w:pPr>
              <w:spacing w:after="100" w:afterAutospacing="1"/>
              <w:rPr>
                <w:rFonts w:ascii="Tahoma" w:hAnsi="Tahoma" w:cs="Tahoma"/>
                <w:color w:val="000000"/>
                <w:sz w:val="16"/>
                <w:szCs w:val="16"/>
              </w:rPr>
            </w:pPr>
            <w:r>
              <w:rPr>
                <w:rFonts w:ascii="Tahoma" w:hAnsi="Tahoma" w:cs="Tahoma"/>
                <w:color w:val="000000"/>
                <w:sz w:val="16"/>
                <w:szCs w:val="16"/>
              </w:rPr>
              <w:t>Northamptonshire</w:t>
            </w:r>
          </w:p>
        </w:tc>
        <w:tc>
          <w:tcPr>
            <w:tcW w:w="1054" w:type="dxa"/>
            <w:tcBorders>
              <w:top w:val="nil"/>
              <w:left w:val="nil"/>
              <w:bottom w:val="single" w:sz="4" w:space="0" w:color="auto"/>
              <w:right w:val="single" w:sz="4" w:space="0" w:color="auto"/>
            </w:tcBorders>
            <w:shd w:val="clear" w:color="auto" w:fill="auto"/>
            <w:noWrap/>
            <w:vAlign w:val="bottom"/>
            <w:hideMark/>
          </w:tcPr>
          <w:p w:rsidR="00161AA5" w:rsidRDefault="00161AA5" w:rsidP="00161AA5">
            <w:pPr>
              <w:spacing w:after="100" w:afterAutospacing="1"/>
              <w:jc w:val="right"/>
              <w:rPr>
                <w:rFonts w:ascii="Tahoma" w:hAnsi="Tahoma" w:cs="Tahoma"/>
                <w:color w:val="000000"/>
                <w:sz w:val="16"/>
                <w:szCs w:val="16"/>
              </w:rPr>
            </w:pPr>
            <w:r>
              <w:rPr>
                <w:rFonts w:ascii="Tahoma" w:hAnsi="Tahoma" w:cs="Tahoma"/>
                <w:color w:val="000000"/>
                <w:sz w:val="16"/>
                <w:szCs w:val="16"/>
              </w:rPr>
              <w:t>2715</w:t>
            </w:r>
          </w:p>
        </w:tc>
        <w:tc>
          <w:tcPr>
            <w:tcW w:w="1054" w:type="dxa"/>
            <w:tcBorders>
              <w:top w:val="nil"/>
              <w:left w:val="nil"/>
              <w:bottom w:val="single" w:sz="4" w:space="0" w:color="auto"/>
              <w:right w:val="single" w:sz="4" w:space="0" w:color="auto"/>
            </w:tcBorders>
            <w:shd w:val="clear" w:color="auto" w:fill="auto"/>
            <w:noWrap/>
            <w:vAlign w:val="bottom"/>
            <w:hideMark/>
          </w:tcPr>
          <w:p w:rsidR="00161AA5" w:rsidRDefault="00161AA5" w:rsidP="00161AA5">
            <w:pPr>
              <w:spacing w:after="100" w:afterAutospacing="1"/>
              <w:jc w:val="right"/>
              <w:rPr>
                <w:rFonts w:ascii="Tahoma" w:hAnsi="Tahoma" w:cs="Tahoma"/>
                <w:color w:val="000000"/>
                <w:sz w:val="16"/>
                <w:szCs w:val="16"/>
              </w:rPr>
            </w:pPr>
            <w:r>
              <w:rPr>
                <w:rFonts w:ascii="Tahoma" w:hAnsi="Tahoma" w:cs="Tahoma"/>
                <w:color w:val="000000"/>
                <w:sz w:val="16"/>
                <w:szCs w:val="16"/>
              </w:rPr>
              <w:t>2737</w:t>
            </w:r>
          </w:p>
        </w:tc>
        <w:tc>
          <w:tcPr>
            <w:tcW w:w="1054" w:type="dxa"/>
            <w:tcBorders>
              <w:top w:val="nil"/>
              <w:left w:val="nil"/>
              <w:bottom w:val="single" w:sz="4" w:space="0" w:color="auto"/>
              <w:right w:val="single" w:sz="4" w:space="0" w:color="auto"/>
            </w:tcBorders>
            <w:shd w:val="clear" w:color="auto" w:fill="auto"/>
            <w:noWrap/>
            <w:vAlign w:val="bottom"/>
            <w:hideMark/>
          </w:tcPr>
          <w:p w:rsidR="00161AA5" w:rsidRDefault="00161AA5" w:rsidP="00161AA5">
            <w:pPr>
              <w:spacing w:after="100" w:afterAutospacing="1"/>
              <w:jc w:val="right"/>
              <w:rPr>
                <w:rFonts w:ascii="Tahoma" w:hAnsi="Tahoma" w:cs="Tahoma"/>
                <w:color w:val="000000"/>
                <w:sz w:val="16"/>
                <w:szCs w:val="16"/>
              </w:rPr>
            </w:pPr>
            <w:r>
              <w:rPr>
                <w:rFonts w:ascii="Tahoma" w:hAnsi="Tahoma" w:cs="Tahoma"/>
                <w:color w:val="000000"/>
                <w:sz w:val="16"/>
                <w:szCs w:val="16"/>
              </w:rPr>
              <w:t>2832</w:t>
            </w:r>
          </w:p>
        </w:tc>
        <w:tc>
          <w:tcPr>
            <w:tcW w:w="1054" w:type="dxa"/>
            <w:tcBorders>
              <w:top w:val="nil"/>
              <w:left w:val="nil"/>
              <w:bottom w:val="single" w:sz="4" w:space="0" w:color="auto"/>
              <w:right w:val="single" w:sz="4" w:space="0" w:color="auto"/>
            </w:tcBorders>
            <w:shd w:val="clear" w:color="auto" w:fill="auto"/>
            <w:noWrap/>
            <w:vAlign w:val="bottom"/>
            <w:hideMark/>
          </w:tcPr>
          <w:p w:rsidR="00161AA5" w:rsidRDefault="00161AA5" w:rsidP="00161AA5">
            <w:pPr>
              <w:spacing w:after="100" w:afterAutospacing="1"/>
              <w:jc w:val="right"/>
              <w:rPr>
                <w:rFonts w:ascii="Tahoma" w:hAnsi="Tahoma" w:cs="Tahoma"/>
                <w:color w:val="000000"/>
                <w:sz w:val="16"/>
                <w:szCs w:val="16"/>
              </w:rPr>
            </w:pPr>
            <w:r>
              <w:rPr>
                <w:rFonts w:ascii="Tahoma" w:hAnsi="Tahoma" w:cs="Tahoma"/>
                <w:color w:val="000000"/>
                <w:sz w:val="16"/>
                <w:szCs w:val="16"/>
              </w:rPr>
              <w:t>2908</w:t>
            </w:r>
          </w:p>
        </w:tc>
        <w:tc>
          <w:tcPr>
            <w:tcW w:w="1054" w:type="dxa"/>
            <w:tcBorders>
              <w:top w:val="nil"/>
              <w:left w:val="nil"/>
              <w:bottom w:val="single" w:sz="4" w:space="0" w:color="auto"/>
              <w:right w:val="single" w:sz="4" w:space="0" w:color="auto"/>
            </w:tcBorders>
            <w:shd w:val="clear" w:color="auto" w:fill="auto"/>
            <w:noWrap/>
            <w:vAlign w:val="bottom"/>
            <w:hideMark/>
          </w:tcPr>
          <w:p w:rsidR="00161AA5" w:rsidRDefault="00161AA5" w:rsidP="00161AA5">
            <w:pPr>
              <w:spacing w:after="100" w:afterAutospacing="1"/>
              <w:jc w:val="right"/>
              <w:rPr>
                <w:rFonts w:ascii="Tahoma" w:hAnsi="Tahoma" w:cs="Tahoma"/>
                <w:color w:val="000000"/>
                <w:sz w:val="16"/>
                <w:szCs w:val="16"/>
              </w:rPr>
            </w:pPr>
            <w:r>
              <w:rPr>
                <w:rFonts w:ascii="Tahoma" w:hAnsi="Tahoma" w:cs="Tahoma"/>
                <w:color w:val="000000"/>
                <w:sz w:val="16"/>
                <w:szCs w:val="16"/>
              </w:rPr>
              <w:t>2993</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D73F43"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D73F43" w:rsidRDefault="00D73F43" w:rsidP="00D73F43">
            <w:pPr>
              <w:spacing w:after="100" w:afterAutospacing="1"/>
              <w:rPr>
                <w:rFonts w:ascii="Tahoma" w:hAnsi="Tahoma" w:cs="Tahoma"/>
                <w:color w:val="000000"/>
                <w:sz w:val="16"/>
                <w:szCs w:val="16"/>
              </w:rPr>
            </w:pPr>
            <w:r>
              <w:rPr>
                <w:rFonts w:ascii="Tahoma" w:hAnsi="Tahoma" w:cs="Tahoma"/>
                <w:color w:val="000000"/>
                <w:sz w:val="16"/>
                <w:szCs w:val="16"/>
              </w:rPr>
              <w:t>Northamptonshire</w:t>
            </w:r>
          </w:p>
        </w:tc>
        <w:tc>
          <w:tcPr>
            <w:tcW w:w="2818" w:type="dxa"/>
            <w:tcBorders>
              <w:top w:val="nil"/>
              <w:left w:val="nil"/>
              <w:bottom w:val="single" w:sz="4" w:space="0" w:color="auto"/>
              <w:right w:val="single" w:sz="4" w:space="0" w:color="auto"/>
            </w:tcBorders>
            <w:shd w:val="clear" w:color="auto" w:fill="auto"/>
            <w:noWrap/>
            <w:vAlign w:val="bottom"/>
            <w:hideMark/>
          </w:tcPr>
          <w:p w:rsidR="00D73F43" w:rsidRDefault="00D73F43" w:rsidP="00D73F43">
            <w:pPr>
              <w:spacing w:after="100" w:afterAutospacing="1"/>
              <w:jc w:val="right"/>
              <w:rPr>
                <w:rFonts w:ascii="Tahoma" w:hAnsi="Tahoma" w:cs="Tahoma"/>
                <w:color w:val="000000"/>
                <w:sz w:val="16"/>
                <w:szCs w:val="16"/>
              </w:rPr>
            </w:pPr>
            <w:r>
              <w:rPr>
                <w:rFonts w:ascii="Tahoma" w:hAnsi="Tahoma" w:cs="Tahoma"/>
                <w:color w:val="000000"/>
                <w:sz w:val="16"/>
                <w:szCs w:val="16"/>
              </w:rPr>
              <w:t>33.8</w:t>
            </w:r>
          </w:p>
        </w:tc>
        <w:tc>
          <w:tcPr>
            <w:tcW w:w="2647" w:type="dxa"/>
            <w:tcBorders>
              <w:top w:val="nil"/>
              <w:left w:val="nil"/>
              <w:bottom w:val="single" w:sz="4" w:space="0" w:color="auto"/>
              <w:right w:val="single" w:sz="4" w:space="0" w:color="auto"/>
            </w:tcBorders>
            <w:shd w:val="clear" w:color="auto" w:fill="auto"/>
            <w:noWrap/>
            <w:vAlign w:val="bottom"/>
            <w:hideMark/>
          </w:tcPr>
          <w:p w:rsidR="00D73F43" w:rsidRDefault="00D73F43" w:rsidP="00D73F43">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D73F43" w:rsidRDefault="00D73F43" w:rsidP="00D73F43">
            <w:pPr>
              <w:spacing w:after="100" w:afterAutospacing="1"/>
              <w:jc w:val="right"/>
              <w:rPr>
                <w:rFonts w:ascii="Tahoma" w:hAnsi="Tahoma" w:cs="Tahoma"/>
                <w:color w:val="000000"/>
                <w:sz w:val="16"/>
                <w:szCs w:val="16"/>
              </w:rPr>
            </w:pPr>
            <w:r>
              <w:rPr>
                <w:rFonts w:ascii="Tahoma" w:hAnsi="Tahoma" w:cs="Tahoma"/>
                <w:color w:val="000000"/>
                <w:sz w:val="16"/>
                <w:szCs w:val="16"/>
              </w:rPr>
              <w:t>33.8</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D73F43"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D73F43" w:rsidRDefault="00D73F43" w:rsidP="00D73F43">
            <w:pPr>
              <w:spacing w:after="100" w:afterAutospacing="1"/>
              <w:rPr>
                <w:rFonts w:ascii="Tahoma" w:hAnsi="Tahoma" w:cs="Tahoma"/>
                <w:color w:val="000000"/>
                <w:sz w:val="16"/>
                <w:szCs w:val="16"/>
              </w:rPr>
            </w:pPr>
            <w:r>
              <w:rPr>
                <w:rFonts w:ascii="Tahoma" w:hAnsi="Tahoma" w:cs="Tahoma"/>
                <w:color w:val="000000"/>
                <w:sz w:val="16"/>
                <w:szCs w:val="16"/>
              </w:rPr>
              <w:t>Northamptonshire</w:t>
            </w:r>
          </w:p>
        </w:tc>
        <w:tc>
          <w:tcPr>
            <w:tcW w:w="1356" w:type="dxa"/>
            <w:tcBorders>
              <w:top w:val="nil"/>
              <w:left w:val="nil"/>
              <w:bottom w:val="single" w:sz="4" w:space="0" w:color="auto"/>
              <w:right w:val="single" w:sz="4" w:space="0" w:color="auto"/>
            </w:tcBorders>
            <w:shd w:val="clear" w:color="auto" w:fill="auto"/>
            <w:noWrap/>
            <w:vAlign w:val="bottom"/>
            <w:hideMark/>
          </w:tcPr>
          <w:p w:rsidR="00D73F43" w:rsidRDefault="00D73F43" w:rsidP="00D73F43">
            <w:pPr>
              <w:spacing w:after="100" w:afterAutospacing="1"/>
              <w:jc w:val="right"/>
              <w:rPr>
                <w:rFonts w:ascii="Tahoma" w:hAnsi="Tahoma" w:cs="Tahoma"/>
                <w:color w:val="000000"/>
                <w:sz w:val="16"/>
                <w:szCs w:val="16"/>
              </w:rPr>
            </w:pPr>
            <w:r>
              <w:rPr>
                <w:rFonts w:ascii="Tahoma" w:hAnsi="Tahoma" w:cs="Tahoma"/>
                <w:color w:val="000000"/>
                <w:sz w:val="16"/>
                <w:szCs w:val="16"/>
              </w:rPr>
              <w:t>104.64</w:t>
            </w:r>
          </w:p>
        </w:tc>
        <w:tc>
          <w:tcPr>
            <w:tcW w:w="1377" w:type="dxa"/>
            <w:tcBorders>
              <w:top w:val="nil"/>
              <w:left w:val="nil"/>
              <w:bottom w:val="single" w:sz="4" w:space="0" w:color="auto"/>
              <w:right w:val="single" w:sz="4" w:space="0" w:color="auto"/>
            </w:tcBorders>
            <w:shd w:val="clear" w:color="auto" w:fill="auto"/>
            <w:noWrap/>
            <w:vAlign w:val="bottom"/>
            <w:hideMark/>
          </w:tcPr>
          <w:p w:rsidR="00D73F43" w:rsidRDefault="00D73F43" w:rsidP="00D73F43">
            <w:pPr>
              <w:spacing w:after="100" w:afterAutospacing="1"/>
              <w:jc w:val="right"/>
              <w:rPr>
                <w:rFonts w:ascii="Tahoma" w:hAnsi="Tahoma" w:cs="Tahoma"/>
                <w:color w:val="000000"/>
                <w:sz w:val="16"/>
                <w:szCs w:val="16"/>
              </w:rPr>
            </w:pPr>
            <w:r>
              <w:rPr>
                <w:rFonts w:ascii="Tahoma" w:hAnsi="Tahoma" w:cs="Tahoma"/>
                <w:color w:val="000000"/>
                <w:sz w:val="16"/>
                <w:szCs w:val="16"/>
              </w:rPr>
              <w:t>0.87</w:t>
            </w:r>
          </w:p>
        </w:tc>
        <w:tc>
          <w:tcPr>
            <w:tcW w:w="1661" w:type="dxa"/>
            <w:tcBorders>
              <w:top w:val="nil"/>
              <w:left w:val="nil"/>
              <w:bottom w:val="single" w:sz="4" w:space="0" w:color="auto"/>
              <w:right w:val="single" w:sz="4" w:space="0" w:color="auto"/>
            </w:tcBorders>
            <w:shd w:val="clear" w:color="auto" w:fill="auto"/>
            <w:noWrap/>
            <w:vAlign w:val="bottom"/>
            <w:hideMark/>
          </w:tcPr>
          <w:p w:rsidR="00D73F43" w:rsidRDefault="00D73F43" w:rsidP="00D73F43">
            <w:pPr>
              <w:spacing w:after="100" w:afterAutospacing="1"/>
              <w:jc w:val="right"/>
              <w:rPr>
                <w:rFonts w:ascii="Tahoma" w:hAnsi="Tahoma" w:cs="Tahoma"/>
                <w:color w:val="000000"/>
                <w:sz w:val="16"/>
                <w:szCs w:val="16"/>
              </w:rPr>
            </w:pPr>
            <w:r>
              <w:rPr>
                <w:rFonts w:ascii="Tahoma" w:hAnsi="Tahoma" w:cs="Tahoma"/>
                <w:color w:val="000000"/>
                <w:sz w:val="16"/>
                <w:szCs w:val="16"/>
              </w:rPr>
              <w:t>232.27</w:t>
            </w:r>
          </w:p>
        </w:tc>
        <w:tc>
          <w:tcPr>
            <w:tcW w:w="1559" w:type="dxa"/>
            <w:tcBorders>
              <w:top w:val="nil"/>
              <w:left w:val="nil"/>
              <w:bottom w:val="single" w:sz="4" w:space="0" w:color="auto"/>
              <w:right w:val="single" w:sz="4" w:space="0" w:color="auto"/>
            </w:tcBorders>
            <w:shd w:val="clear" w:color="auto" w:fill="auto"/>
            <w:noWrap/>
            <w:vAlign w:val="bottom"/>
            <w:hideMark/>
          </w:tcPr>
          <w:p w:rsidR="00D73F43" w:rsidRDefault="00D73F43" w:rsidP="00D73F43">
            <w:pPr>
              <w:spacing w:after="100" w:afterAutospacing="1"/>
              <w:jc w:val="right"/>
              <w:rPr>
                <w:rFonts w:ascii="Tahoma" w:hAnsi="Tahoma" w:cs="Tahoma"/>
                <w:color w:val="000000"/>
                <w:sz w:val="16"/>
                <w:szCs w:val="16"/>
              </w:rPr>
            </w:pPr>
            <w:r>
              <w:rPr>
                <w:rFonts w:ascii="Tahoma" w:hAnsi="Tahoma" w:cs="Tahoma"/>
                <w:color w:val="000000"/>
                <w:sz w:val="16"/>
                <w:szCs w:val="16"/>
              </w:rPr>
              <w:t>82.95</w:t>
            </w:r>
          </w:p>
        </w:tc>
        <w:tc>
          <w:tcPr>
            <w:tcW w:w="1418" w:type="dxa"/>
            <w:tcBorders>
              <w:top w:val="nil"/>
              <w:left w:val="nil"/>
              <w:bottom w:val="single" w:sz="4" w:space="0" w:color="auto"/>
              <w:right w:val="single" w:sz="4" w:space="0" w:color="auto"/>
            </w:tcBorders>
            <w:shd w:val="clear" w:color="auto" w:fill="auto"/>
            <w:noWrap/>
            <w:vAlign w:val="bottom"/>
            <w:hideMark/>
          </w:tcPr>
          <w:p w:rsidR="00D73F43" w:rsidRDefault="00D73F43" w:rsidP="00D73F43">
            <w:pPr>
              <w:spacing w:after="100" w:afterAutospacing="1"/>
              <w:jc w:val="right"/>
              <w:rPr>
                <w:rFonts w:ascii="Tahoma" w:hAnsi="Tahoma" w:cs="Tahoma"/>
                <w:color w:val="000000"/>
                <w:sz w:val="16"/>
                <w:szCs w:val="16"/>
              </w:rPr>
            </w:pPr>
            <w:r>
              <w:rPr>
                <w:rFonts w:ascii="Tahoma" w:hAnsi="Tahoma" w:cs="Tahoma"/>
                <w:color w:val="000000"/>
                <w:sz w:val="16"/>
                <w:szCs w:val="16"/>
              </w:rPr>
              <w:t>420.73</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D73F43"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D73F43" w:rsidRDefault="00D73F43" w:rsidP="00D73F43">
            <w:pPr>
              <w:spacing w:after="100" w:afterAutospacing="1"/>
              <w:rPr>
                <w:rFonts w:ascii="Tahoma" w:hAnsi="Tahoma" w:cs="Tahoma"/>
                <w:color w:val="000000"/>
                <w:sz w:val="16"/>
                <w:szCs w:val="16"/>
              </w:rPr>
            </w:pPr>
            <w:r>
              <w:rPr>
                <w:rFonts w:ascii="Tahoma" w:hAnsi="Tahoma" w:cs="Tahoma"/>
                <w:color w:val="000000"/>
                <w:sz w:val="16"/>
                <w:szCs w:val="16"/>
              </w:rPr>
              <w:t>Northamptonshire</w:t>
            </w:r>
          </w:p>
        </w:tc>
        <w:tc>
          <w:tcPr>
            <w:tcW w:w="1276" w:type="dxa"/>
            <w:tcBorders>
              <w:top w:val="nil"/>
              <w:left w:val="nil"/>
              <w:bottom w:val="single" w:sz="4" w:space="0" w:color="auto"/>
              <w:right w:val="single" w:sz="4" w:space="0" w:color="auto"/>
            </w:tcBorders>
            <w:shd w:val="clear" w:color="auto" w:fill="auto"/>
            <w:noWrap/>
            <w:vAlign w:val="bottom"/>
            <w:hideMark/>
          </w:tcPr>
          <w:p w:rsidR="00D73F43" w:rsidRDefault="00D73F43" w:rsidP="00D73F43">
            <w:pPr>
              <w:spacing w:after="100" w:afterAutospacing="1"/>
              <w:jc w:val="right"/>
              <w:rPr>
                <w:rFonts w:ascii="Tahoma" w:hAnsi="Tahoma" w:cs="Tahoma"/>
                <w:color w:val="000000"/>
                <w:sz w:val="16"/>
                <w:szCs w:val="16"/>
              </w:rPr>
            </w:pPr>
            <w:r>
              <w:rPr>
                <w:rFonts w:ascii="Tahoma" w:hAnsi="Tahoma" w:cs="Tahoma"/>
                <w:color w:val="000000"/>
                <w:sz w:val="16"/>
                <w:szCs w:val="16"/>
              </w:rPr>
              <w:t>82.4</w:t>
            </w:r>
          </w:p>
        </w:tc>
        <w:tc>
          <w:tcPr>
            <w:tcW w:w="1417" w:type="dxa"/>
            <w:tcBorders>
              <w:top w:val="nil"/>
              <w:left w:val="nil"/>
              <w:bottom w:val="single" w:sz="4" w:space="0" w:color="auto"/>
              <w:right w:val="single" w:sz="4" w:space="0" w:color="auto"/>
            </w:tcBorders>
            <w:shd w:val="clear" w:color="auto" w:fill="auto"/>
            <w:noWrap/>
            <w:vAlign w:val="bottom"/>
            <w:hideMark/>
          </w:tcPr>
          <w:p w:rsidR="00D73F43" w:rsidRDefault="00D73F43" w:rsidP="00D73F43">
            <w:pPr>
              <w:spacing w:after="100" w:afterAutospacing="1"/>
              <w:jc w:val="right"/>
              <w:rPr>
                <w:rFonts w:ascii="Tahoma" w:hAnsi="Tahoma" w:cs="Tahoma"/>
                <w:color w:val="000000"/>
                <w:sz w:val="16"/>
                <w:szCs w:val="16"/>
              </w:rPr>
            </w:pPr>
            <w:r>
              <w:rPr>
                <w:rFonts w:ascii="Tahoma" w:hAnsi="Tahoma" w:cs="Tahoma"/>
                <w:color w:val="000000"/>
                <w:sz w:val="16"/>
                <w:szCs w:val="16"/>
              </w:rPr>
              <w:t>12.2</w:t>
            </w:r>
          </w:p>
        </w:tc>
        <w:tc>
          <w:tcPr>
            <w:tcW w:w="1559" w:type="dxa"/>
            <w:tcBorders>
              <w:top w:val="nil"/>
              <w:left w:val="nil"/>
              <w:bottom w:val="single" w:sz="4" w:space="0" w:color="auto"/>
              <w:right w:val="single" w:sz="4" w:space="0" w:color="auto"/>
            </w:tcBorders>
            <w:shd w:val="clear" w:color="auto" w:fill="auto"/>
            <w:noWrap/>
            <w:vAlign w:val="bottom"/>
            <w:hideMark/>
          </w:tcPr>
          <w:p w:rsidR="00D73F43" w:rsidRDefault="00D73F43" w:rsidP="00D73F43">
            <w:pPr>
              <w:spacing w:after="100" w:afterAutospacing="1"/>
              <w:jc w:val="right"/>
              <w:rPr>
                <w:rFonts w:ascii="Tahoma" w:hAnsi="Tahoma" w:cs="Tahoma"/>
                <w:color w:val="000000"/>
                <w:sz w:val="16"/>
                <w:szCs w:val="16"/>
              </w:rPr>
            </w:pPr>
            <w:r>
              <w:rPr>
                <w:rFonts w:ascii="Tahoma" w:hAnsi="Tahoma" w:cs="Tahoma"/>
                <w:color w:val="000000"/>
                <w:sz w:val="16"/>
                <w:szCs w:val="16"/>
              </w:rPr>
              <w:t>1542.5</w:t>
            </w:r>
          </w:p>
        </w:tc>
        <w:tc>
          <w:tcPr>
            <w:tcW w:w="1560" w:type="dxa"/>
            <w:tcBorders>
              <w:top w:val="nil"/>
              <w:left w:val="nil"/>
              <w:bottom w:val="single" w:sz="4" w:space="0" w:color="auto"/>
              <w:right w:val="single" w:sz="4" w:space="0" w:color="auto"/>
            </w:tcBorders>
            <w:shd w:val="clear" w:color="auto" w:fill="auto"/>
            <w:noWrap/>
            <w:vAlign w:val="bottom"/>
            <w:hideMark/>
          </w:tcPr>
          <w:p w:rsidR="00D73F43" w:rsidRDefault="00D73F43" w:rsidP="00D73F43">
            <w:pPr>
              <w:spacing w:after="100" w:afterAutospacing="1"/>
              <w:jc w:val="right"/>
              <w:rPr>
                <w:rFonts w:ascii="Tahoma" w:hAnsi="Tahoma" w:cs="Tahoma"/>
                <w:color w:val="000000"/>
                <w:sz w:val="16"/>
                <w:szCs w:val="16"/>
              </w:rPr>
            </w:pPr>
            <w:r>
              <w:rPr>
                <w:rFonts w:ascii="Tahoma" w:hAnsi="Tahoma" w:cs="Tahoma"/>
                <w:color w:val="000000"/>
                <w:sz w:val="16"/>
                <w:szCs w:val="16"/>
              </w:rPr>
              <w:t>774.8</w:t>
            </w:r>
          </w:p>
        </w:tc>
        <w:tc>
          <w:tcPr>
            <w:tcW w:w="1559" w:type="dxa"/>
            <w:tcBorders>
              <w:top w:val="nil"/>
              <w:left w:val="nil"/>
              <w:bottom w:val="single" w:sz="4" w:space="0" w:color="auto"/>
              <w:right w:val="single" w:sz="4" w:space="0" w:color="auto"/>
            </w:tcBorders>
            <w:shd w:val="clear" w:color="auto" w:fill="auto"/>
            <w:noWrap/>
            <w:vAlign w:val="bottom"/>
            <w:hideMark/>
          </w:tcPr>
          <w:p w:rsidR="00D73F43" w:rsidRDefault="00D73F43" w:rsidP="00D73F43">
            <w:pPr>
              <w:spacing w:after="100" w:afterAutospacing="1"/>
              <w:jc w:val="right"/>
              <w:rPr>
                <w:rFonts w:ascii="Tahoma" w:hAnsi="Tahoma" w:cs="Tahoma"/>
                <w:color w:val="000000"/>
                <w:sz w:val="16"/>
                <w:szCs w:val="16"/>
              </w:rPr>
            </w:pPr>
            <w:r>
              <w:rPr>
                <w:rFonts w:ascii="Tahoma" w:hAnsi="Tahoma" w:cs="Tahoma"/>
                <w:color w:val="000000"/>
                <w:sz w:val="16"/>
                <w:szCs w:val="16"/>
              </w:rPr>
              <w:t>2411.9</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D73F43"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D73F43" w:rsidRDefault="00D73F43" w:rsidP="00D73F43">
            <w:pPr>
              <w:spacing w:after="100" w:afterAutospacing="1"/>
              <w:rPr>
                <w:rFonts w:ascii="Tahoma" w:hAnsi="Tahoma" w:cs="Tahoma"/>
                <w:color w:val="000000"/>
                <w:sz w:val="16"/>
                <w:szCs w:val="16"/>
              </w:rPr>
            </w:pPr>
            <w:r>
              <w:rPr>
                <w:rFonts w:ascii="Tahoma" w:hAnsi="Tahoma" w:cs="Tahoma"/>
                <w:color w:val="000000"/>
                <w:sz w:val="16"/>
                <w:szCs w:val="16"/>
              </w:rPr>
              <w:t>Northamptonshire</w:t>
            </w:r>
          </w:p>
        </w:tc>
        <w:tc>
          <w:tcPr>
            <w:tcW w:w="1843" w:type="dxa"/>
            <w:tcBorders>
              <w:top w:val="nil"/>
              <w:left w:val="nil"/>
              <w:bottom w:val="single" w:sz="4" w:space="0" w:color="auto"/>
              <w:right w:val="single" w:sz="4" w:space="0" w:color="auto"/>
            </w:tcBorders>
            <w:shd w:val="clear" w:color="auto" w:fill="auto"/>
            <w:noWrap/>
            <w:vAlign w:val="bottom"/>
            <w:hideMark/>
          </w:tcPr>
          <w:p w:rsidR="00D73F43" w:rsidRDefault="00D73F43" w:rsidP="00D73F43">
            <w:pPr>
              <w:spacing w:after="100" w:afterAutospacing="1"/>
              <w:jc w:val="right"/>
              <w:rPr>
                <w:rFonts w:ascii="Tahoma" w:hAnsi="Tahoma" w:cs="Tahoma"/>
                <w:color w:val="000000"/>
                <w:sz w:val="16"/>
                <w:szCs w:val="16"/>
              </w:rPr>
            </w:pPr>
            <w:r>
              <w:rPr>
                <w:rFonts w:ascii="Tahoma" w:hAnsi="Tahoma" w:cs="Tahoma"/>
                <w:color w:val="000000"/>
                <w:sz w:val="16"/>
                <w:szCs w:val="16"/>
              </w:rPr>
              <w:t>139.31</w:t>
            </w:r>
          </w:p>
        </w:tc>
        <w:tc>
          <w:tcPr>
            <w:tcW w:w="1984" w:type="dxa"/>
            <w:tcBorders>
              <w:top w:val="nil"/>
              <w:left w:val="nil"/>
              <w:bottom w:val="single" w:sz="4" w:space="0" w:color="auto"/>
              <w:right w:val="single" w:sz="4" w:space="0" w:color="auto"/>
            </w:tcBorders>
            <w:shd w:val="clear" w:color="auto" w:fill="auto"/>
            <w:noWrap/>
            <w:vAlign w:val="bottom"/>
            <w:hideMark/>
          </w:tcPr>
          <w:p w:rsidR="00D73F43" w:rsidRDefault="00D73F43" w:rsidP="00D73F43">
            <w:pPr>
              <w:spacing w:after="100" w:afterAutospacing="1"/>
              <w:jc w:val="right"/>
              <w:rPr>
                <w:rFonts w:ascii="Tahoma" w:hAnsi="Tahoma" w:cs="Tahoma"/>
                <w:color w:val="000000"/>
                <w:sz w:val="16"/>
                <w:szCs w:val="16"/>
              </w:rPr>
            </w:pPr>
            <w:r>
              <w:rPr>
                <w:rFonts w:ascii="Tahoma" w:hAnsi="Tahoma" w:cs="Tahoma"/>
                <w:color w:val="000000"/>
                <w:sz w:val="16"/>
                <w:szCs w:val="16"/>
              </w:rPr>
              <w:t>315.22</w:t>
            </w:r>
          </w:p>
        </w:tc>
        <w:tc>
          <w:tcPr>
            <w:tcW w:w="1843" w:type="dxa"/>
            <w:tcBorders>
              <w:top w:val="nil"/>
              <w:left w:val="nil"/>
              <w:bottom w:val="single" w:sz="4" w:space="0" w:color="auto"/>
              <w:right w:val="single" w:sz="4" w:space="0" w:color="auto"/>
            </w:tcBorders>
            <w:shd w:val="clear" w:color="auto" w:fill="auto"/>
            <w:noWrap/>
            <w:vAlign w:val="bottom"/>
            <w:hideMark/>
          </w:tcPr>
          <w:p w:rsidR="00D73F43" w:rsidRDefault="00D73F43" w:rsidP="00D73F43">
            <w:pPr>
              <w:spacing w:after="100" w:afterAutospacing="1"/>
              <w:jc w:val="right"/>
              <w:rPr>
                <w:rFonts w:ascii="Tahoma" w:hAnsi="Tahoma" w:cs="Tahoma"/>
                <w:color w:val="000000"/>
                <w:sz w:val="16"/>
                <w:szCs w:val="16"/>
              </w:rPr>
            </w:pPr>
            <w:r>
              <w:rPr>
                <w:rFonts w:ascii="Tahoma" w:hAnsi="Tahoma" w:cs="Tahoma"/>
                <w:color w:val="000000"/>
                <w:sz w:val="16"/>
                <w:szCs w:val="16"/>
              </w:rPr>
              <w:t>2411.9</w:t>
            </w:r>
          </w:p>
        </w:tc>
        <w:tc>
          <w:tcPr>
            <w:tcW w:w="1701" w:type="dxa"/>
            <w:tcBorders>
              <w:top w:val="nil"/>
              <w:left w:val="nil"/>
              <w:bottom w:val="single" w:sz="4" w:space="0" w:color="auto"/>
              <w:right w:val="single" w:sz="4" w:space="0" w:color="auto"/>
            </w:tcBorders>
            <w:shd w:val="clear" w:color="auto" w:fill="auto"/>
            <w:noWrap/>
            <w:vAlign w:val="bottom"/>
            <w:hideMark/>
          </w:tcPr>
          <w:p w:rsidR="00D73F43" w:rsidRDefault="00D73F43" w:rsidP="00D73F43">
            <w:pPr>
              <w:spacing w:after="100" w:afterAutospacing="1"/>
              <w:jc w:val="right"/>
              <w:rPr>
                <w:rFonts w:ascii="Tahoma" w:hAnsi="Tahoma" w:cs="Tahoma"/>
                <w:color w:val="000000"/>
                <w:sz w:val="16"/>
                <w:szCs w:val="16"/>
              </w:rPr>
            </w:pPr>
            <w:r>
              <w:rPr>
                <w:rFonts w:ascii="Tahoma" w:hAnsi="Tahoma" w:cs="Tahoma"/>
                <w:color w:val="000000"/>
                <w:sz w:val="16"/>
                <w:szCs w:val="16"/>
              </w:rPr>
              <w:t>2866.4</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D73F43" w:rsidRPr="009500DD" w:rsidTr="00D73F43">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3F43" w:rsidRDefault="00D73F43" w:rsidP="00D73F43">
            <w:pPr>
              <w:spacing w:after="100" w:afterAutospacing="1"/>
              <w:rPr>
                <w:rFonts w:ascii="Calibri" w:hAnsi="Calibri" w:cs="Calibri"/>
                <w:color w:val="000000"/>
              </w:rPr>
            </w:pPr>
            <w:r>
              <w:rPr>
                <w:rFonts w:ascii="Calibri" w:hAnsi="Calibri" w:cs="Calibri"/>
                <w:color w:val="000000"/>
              </w:rPr>
              <w:t>Road length of principal roads in Northamptonshire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D73F43" w:rsidRDefault="00D73F43" w:rsidP="00D73F43">
            <w:pPr>
              <w:spacing w:after="100" w:afterAutospacing="1"/>
              <w:rPr>
                <w:rFonts w:ascii="Calibri" w:hAnsi="Calibri" w:cs="Calibri"/>
                <w:color w:val="000000"/>
              </w:rPr>
            </w:pPr>
            <w:r>
              <w:rPr>
                <w:rFonts w:ascii="Calibri" w:hAnsi="Calibri" w:cs="Calibri"/>
                <w:color w:val="000000"/>
              </w:rPr>
              <w:t>9.5miles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D73F43" w:rsidRPr="009500DD" w:rsidTr="00D73F43">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3F43" w:rsidRDefault="00D73F43" w:rsidP="00D73F43">
            <w:pPr>
              <w:spacing w:after="100" w:afterAutospacing="1"/>
              <w:rPr>
                <w:rFonts w:ascii="Calibri" w:hAnsi="Calibri" w:cs="Calibri"/>
                <w:color w:val="000000"/>
              </w:rPr>
            </w:pPr>
            <w:r>
              <w:rPr>
                <w:rFonts w:ascii="Calibri" w:hAnsi="Calibri" w:cs="Calibri"/>
                <w:color w:val="000000"/>
              </w:rPr>
              <w:t>Road length of non-principal roads in Northamptonshire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D73F43" w:rsidRDefault="00D73F43" w:rsidP="00D73F43">
            <w:pPr>
              <w:spacing w:after="100" w:afterAutospacing="1"/>
              <w:rPr>
                <w:rFonts w:ascii="Calibri" w:hAnsi="Calibri" w:cs="Calibri"/>
                <w:color w:val="000000"/>
              </w:rPr>
            </w:pPr>
            <w:r>
              <w:rPr>
                <w:rFonts w:ascii="Calibri" w:hAnsi="Calibri" w:cs="Calibri"/>
                <w:color w:val="000000"/>
              </w:rPr>
              <w:t>145miles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3D6D"/>
    <w:rsid w:val="000252BE"/>
    <w:rsid w:val="00034AE0"/>
    <w:rsid w:val="0004365F"/>
    <w:rsid w:val="00046FC3"/>
    <w:rsid w:val="00047B6E"/>
    <w:rsid w:val="00054C2A"/>
    <w:rsid w:val="00057D91"/>
    <w:rsid w:val="00061590"/>
    <w:rsid w:val="0007288F"/>
    <w:rsid w:val="00073826"/>
    <w:rsid w:val="00075447"/>
    <w:rsid w:val="00077094"/>
    <w:rsid w:val="00096A38"/>
    <w:rsid w:val="000A1169"/>
    <w:rsid w:val="000A1E62"/>
    <w:rsid w:val="000A2068"/>
    <w:rsid w:val="000A253B"/>
    <w:rsid w:val="000A31A2"/>
    <w:rsid w:val="000A52B2"/>
    <w:rsid w:val="000B3BB2"/>
    <w:rsid w:val="000B410A"/>
    <w:rsid w:val="000D1137"/>
    <w:rsid w:val="000D57F2"/>
    <w:rsid w:val="000D6B86"/>
    <w:rsid w:val="000D7426"/>
    <w:rsid w:val="000E0225"/>
    <w:rsid w:val="000E2973"/>
    <w:rsid w:val="000E6E0C"/>
    <w:rsid w:val="000F1E11"/>
    <w:rsid w:val="000F446C"/>
    <w:rsid w:val="00111193"/>
    <w:rsid w:val="001157F0"/>
    <w:rsid w:val="00123766"/>
    <w:rsid w:val="001258FF"/>
    <w:rsid w:val="00136993"/>
    <w:rsid w:val="00137983"/>
    <w:rsid w:val="001458E3"/>
    <w:rsid w:val="00152A66"/>
    <w:rsid w:val="00153614"/>
    <w:rsid w:val="00153631"/>
    <w:rsid w:val="00154234"/>
    <w:rsid w:val="00161AA5"/>
    <w:rsid w:val="00162CA7"/>
    <w:rsid w:val="00163203"/>
    <w:rsid w:val="00163DF2"/>
    <w:rsid w:val="00170CCD"/>
    <w:rsid w:val="00171D21"/>
    <w:rsid w:val="001779A1"/>
    <w:rsid w:val="001818B2"/>
    <w:rsid w:val="00182EBD"/>
    <w:rsid w:val="0018549B"/>
    <w:rsid w:val="00190253"/>
    <w:rsid w:val="00192701"/>
    <w:rsid w:val="001977B6"/>
    <w:rsid w:val="001A1D5B"/>
    <w:rsid w:val="001A332C"/>
    <w:rsid w:val="001B2382"/>
    <w:rsid w:val="001B2B01"/>
    <w:rsid w:val="001C52DE"/>
    <w:rsid w:val="001D6CB6"/>
    <w:rsid w:val="001E09A4"/>
    <w:rsid w:val="001E7C97"/>
    <w:rsid w:val="001F32CF"/>
    <w:rsid w:val="001F4A28"/>
    <w:rsid w:val="001F5674"/>
    <w:rsid w:val="00205C7F"/>
    <w:rsid w:val="00212307"/>
    <w:rsid w:val="00214346"/>
    <w:rsid w:val="002143A4"/>
    <w:rsid w:val="0021628D"/>
    <w:rsid w:val="002211F3"/>
    <w:rsid w:val="00230193"/>
    <w:rsid w:val="00230CF6"/>
    <w:rsid w:val="002348E6"/>
    <w:rsid w:val="002408BD"/>
    <w:rsid w:val="00246E3A"/>
    <w:rsid w:val="00247483"/>
    <w:rsid w:val="00256D31"/>
    <w:rsid w:val="00257FBA"/>
    <w:rsid w:val="002651E1"/>
    <w:rsid w:val="00274ED9"/>
    <w:rsid w:val="002B39D0"/>
    <w:rsid w:val="002C13E8"/>
    <w:rsid w:val="002C6BB4"/>
    <w:rsid w:val="002D62CB"/>
    <w:rsid w:val="002E57EA"/>
    <w:rsid w:val="00300A54"/>
    <w:rsid w:val="0032648E"/>
    <w:rsid w:val="00326C5A"/>
    <w:rsid w:val="0033684A"/>
    <w:rsid w:val="00336CE0"/>
    <w:rsid w:val="00340480"/>
    <w:rsid w:val="00340CF5"/>
    <w:rsid w:val="00344742"/>
    <w:rsid w:val="003461E7"/>
    <w:rsid w:val="003501F6"/>
    <w:rsid w:val="00353545"/>
    <w:rsid w:val="003555C6"/>
    <w:rsid w:val="00357E6D"/>
    <w:rsid w:val="00360FD9"/>
    <w:rsid w:val="00377466"/>
    <w:rsid w:val="00381326"/>
    <w:rsid w:val="003815DA"/>
    <w:rsid w:val="00383CA1"/>
    <w:rsid w:val="003878B8"/>
    <w:rsid w:val="003965DC"/>
    <w:rsid w:val="003A18D3"/>
    <w:rsid w:val="003A61C3"/>
    <w:rsid w:val="003B5117"/>
    <w:rsid w:val="003C135F"/>
    <w:rsid w:val="003C1462"/>
    <w:rsid w:val="003C3F77"/>
    <w:rsid w:val="003C40D8"/>
    <w:rsid w:val="003C7266"/>
    <w:rsid w:val="003C7651"/>
    <w:rsid w:val="003D7517"/>
    <w:rsid w:val="003E0AA8"/>
    <w:rsid w:val="003E7C4A"/>
    <w:rsid w:val="004033DF"/>
    <w:rsid w:val="00415E18"/>
    <w:rsid w:val="004167EC"/>
    <w:rsid w:val="00417448"/>
    <w:rsid w:val="00422A00"/>
    <w:rsid w:val="00427EEE"/>
    <w:rsid w:val="00443081"/>
    <w:rsid w:val="00443F34"/>
    <w:rsid w:val="00445CF6"/>
    <w:rsid w:val="00451FF7"/>
    <w:rsid w:val="00452B0C"/>
    <w:rsid w:val="004623CF"/>
    <w:rsid w:val="00465750"/>
    <w:rsid w:val="0046620E"/>
    <w:rsid w:val="004737C5"/>
    <w:rsid w:val="00475274"/>
    <w:rsid w:val="004972B9"/>
    <w:rsid w:val="004A1C29"/>
    <w:rsid w:val="004A44E1"/>
    <w:rsid w:val="004B4BE1"/>
    <w:rsid w:val="004C095C"/>
    <w:rsid w:val="004C2A1C"/>
    <w:rsid w:val="004D3814"/>
    <w:rsid w:val="004E747D"/>
    <w:rsid w:val="004F4216"/>
    <w:rsid w:val="004F53EE"/>
    <w:rsid w:val="00500FD5"/>
    <w:rsid w:val="00506AD4"/>
    <w:rsid w:val="00513C6F"/>
    <w:rsid w:val="00517C92"/>
    <w:rsid w:val="0052568F"/>
    <w:rsid w:val="00525FC6"/>
    <w:rsid w:val="0054588F"/>
    <w:rsid w:val="00545A25"/>
    <w:rsid w:val="0054613A"/>
    <w:rsid w:val="00555F9F"/>
    <w:rsid w:val="00557B7F"/>
    <w:rsid w:val="0057388A"/>
    <w:rsid w:val="00575E1E"/>
    <w:rsid w:val="00580911"/>
    <w:rsid w:val="0058264D"/>
    <w:rsid w:val="00587D4E"/>
    <w:rsid w:val="005947D7"/>
    <w:rsid w:val="00595B2F"/>
    <w:rsid w:val="00597019"/>
    <w:rsid w:val="005B3009"/>
    <w:rsid w:val="005B3FA2"/>
    <w:rsid w:val="005B6A98"/>
    <w:rsid w:val="005C095A"/>
    <w:rsid w:val="005C33B2"/>
    <w:rsid w:val="005D01AA"/>
    <w:rsid w:val="005D523F"/>
    <w:rsid w:val="005D6CB1"/>
    <w:rsid w:val="00600EBE"/>
    <w:rsid w:val="00602484"/>
    <w:rsid w:val="00604F05"/>
    <w:rsid w:val="0060780B"/>
    <w:rsid w:val="00614B35"/>
    <w:rsid w:val="00616D21"/>
    <w:rsid w:val="006245BC"/>
    <w:rsid w:val="00630C41"/>
    <w:rsid w:val="00644433"/>
    <w:rsid w:val="006464CF"/>
    <w:rsid w:val="0065405D"/>
    <w:rsid w:val="00662CDA"/>
    <w:rsid w:val="00665AAB"/>
    <w:rsid w:val="00672976"/>
    <w:rsid w:val="00675025"/>
    <w:rsid w:val="00680313"/>
    <w:rsid w:val="00680CB9"/>
    <w:rsid w:val="0068362E"/>
    <w:rsid w:val="00692E85"/>
    <w:rsid w:val="006931D7"/>
    <w:rsid w:val="006A3967"/>
    <w:rsid w:val="006A58A6"/>
    <w:rsid w:val="006C5ECC"/>
    <w:rsid w:val="006D1E0C"/>
    <w:rsid w:val="006D46D6"/>
    <w:rsid w:val="006D63A2"/>
    <w:rsid w:val="006D6F09"/>
    <w:rsid w:val="006E0A15"/>
    <w:rsid w:val="006E1F1B"/>
    <w:rsid w:val="006F2C9A"/>
    <w:rsid w:val="006F4B5C"/>
    <w:rsid w:val="006F4FD3"/>
    <w:rsid w:val="006F75BA"/>
    <w:rsid w:val="0070182B"/>
    <w:rsid w:val="00702B26"/>
    <w:rsid w:val="00707CEB"/>
    <w:rsid w:val="00715809"/>
    <w:rsid w:val="00715D9D"/>
    <w:rsid w:val="00717F61"/>
    <w:rsid w:val="00727708"/>
    <w:rsid w:val="00731414"/>
    <w:rsid w:val="007404AB"/>
    <w:rsid w:val="00751EDB"/>
    <w:rsid w:val="00753243"/>
    <w:rsid w:val="0075601D"/>
    <w:rsid w:val="00765529"/>
    <w:rsid w:val="007669F4"/>
    <w:rsid w:val="00784950"/>
    <w:rsid w:val="00786635"/>
    <w:rsid w:val="007909EB"/>
    <w:rsid w:val="007929B2"/>
    <w:rsid w:val="00796FB4"/>
    <w:rsid w:val="007B5629"/>
    <w:rsid w:val="007C052F"/>
    <w:rsid w:val="007C397F"/>
    <w:rsid w:val="007D3509"/>
    <w:rsid w:val="007D4BF5"/>
    <w:rsid w:val="007E0505"/>
    <w:rsid w:val="007E65D3"/>
    <w:rsid w:val="007F5F54"/>
    <w:rsid w:val="007F66C5"/>
    <w:rsid w:val="007F7192"/>
    <w:rsid w:val="008003D4"/>
    <w:rsid w:val="008111CB"/>
    <w:rsid w:val="008211F5"/>
    <w:rsid w:val="00826B10"/>
    <w:rsid w:val="0083304D"/>
    <w:rsid w:val="00843934"/>
    <w:rsid w:val="008447A6"/>
    <w:rsid w:val="00855650"/>
    <w:rsid w:val="008576ED"/>
    <w:rsid w:val="008615B3"/>
    <w:rsid w:val="00863A32"/>
    <w:rsid w:val="0086703C"/>
    <w:rsid w:val="00867BF8"/>
    <w:rsid w:val="00870CC8"/>
    <w:rsid w:val="00871D69"/>
    <w:rsid w:val="00884EF2"/>
    <w:rsid w:val="00886701"/>
    <w:rsid w:val="00886FEC"/>
    <w:rsid w:val="00890675"/>
    <w:rsid w:val="0089357E"/>
    <w:rsid w:val="008953FB"/>
    <w:rsid w:val="008A1121"/>
    <w:rsid w:val="008B21E0"/>
    <w:rsid w:val="008C01F1"/>
    <w:rsid w:val="008C071D"/>
    <w:rsid w:val="008C64F0"/>
    <w:rsid w:val="008C78B5"/>
    <w:rsid w:val="008D1139"/>
    <w:rsid w:val="008D3C0F"/>
    <w:rsid w:val="008D66C0"/>
    <w:rsid w:val="008E2C36"/>
    <w:rsid w:val="008F0E11"/>
    <w:rsid w:val="008F3CBB"/>
    <w:rsid w:val="00912EBB"/>
    <w:rsid w:val="0091597E"/>
    <w:rsid w:val="00926DC5"/>
    <w:rsid w:val="009436EB"/>
    <w:rsid w:val="00944629"/>
    <w:rsid w:val="009500DD"/>
    <w:rsid w:val="009504FF"/>
    <w:rsid w:val="009528EC"/>
    <w:rsid w:val="00952B99"/>
    <w:rsid w:val="009576E7"/>
    <w:rsid w:val="009579D3"/>
    <w:rsid w:val="00962398"/>
    <w:rsid w:val="00963EAA"/>
    <w:rsid w:val="00965EE3"/>
    <w:rsid w:val="009676E3"/>
    <w:rsid w:val="009867B6"/>
    <w:rsid w:val="009902B8"/>
    <w:rsid w:val="009906DD"/>
    <w:rsid w:val="00991510"/>
    <w:rsid w:val="009B005D"/>
    <w:rsid w:val="009B0857"/>
    <w:rsid w:val="009B632B"/>
    <w:rsid w:val="009B687B"/>
    <w:rsid w:val="009C4491"/>
    <w:rsid w:val="009D5C2F"/>
    <w:rsid w:val="009E23B5"/>
    <w:rsid w:val="009E5806"/>
    <w:rsid w:val="009F5831"/>
    <w:rsid w:val="00A012FC"/>
    <w:rsid w:val="00A02536"/>
    <w:rsid w:val="00A118E9"/>
    <w:rsid w:val="00A16075"/>
    <w:rsid w:val="00A22EF5"/>
    <w:rsid w:val="00A3620F"/>
    <w:rsid w:val="00A3775B"/>
    <w:rsid w:val="00A44C1F"/>
    <w:rsid w:val="00A504D8"/>
    <w:rsid w:val="00A55118"/>
    <w:rsid w:val="00A567A9"/>
    <w:rsid w:val="00A57F92"/>
    <w:rsid w:val="00A61248"/>
    <w:rsid w:val="00A67FA7"/>
    <w:rsid w:val="00A75DA5"/>
    <w:rsid w:val="00A8038C"/>
    <w:rsid w:val="00AA1C54"/>
    <w:rsid w:val="00AA40CB"/>
    <w:rsid w:val="00AA4EAF"/>
    <w:rsid w:val="00AB2003"/>
    <w:rsid w:val="00AB51B9"/>
    <w:rsid w:val="00AC18BA"/>
    <w:rsid w:val="00AD10D9"/>
    <w:rsid w:val="00AE3362"/>
    <w:rsid w:val="00AF0048"/>
    <w:rsid w:val="00B14FB6"/>
    <w:rsid w:val="00B41079"/>
    <w:rsid w:val="00B4609A"/>
    <w:rsid w:val="00B66EC4"/>
    <w:rsid w:val="00B71733"/>
    <w:rsid w:val="00B7287F"/>
    <w:rsid w:val="00B82315"/>
    <w:rsid w:val="00B84331"/>
    <w:rsid w:val="00B928CD"/>
    <w:rsid w:val="00B967F2"/>
    <w:rsid w:val="00BA5521"/>
    <w:rsid w:val="00BB01EE"/>
    <w:rsid w:val="00BC7186"/>
    <w:rsid w:val="00BD2048"/>
    <w:rsid w:val="00BD2351"/>
    <w:rsid w:val="00BD72DF"/>
    <w:rsid w:val="00BE0C65"/>
    <w:rsid w:val="00BE32D1"/>
    <w:rsid w:val="00BE3B1E"/>
    <w:rsid w:val="00BE4633"/>
    <w:rsid w:val="00BE63C8"/>
    <w:rsid w:val="00BF0BE9"/>
    <w:rsid w:val="00BF44B3"/>
    <w:rsid w:val="00BF4619"/>
    <w:rsid w:val="00C027BE"/>
    <w:rsid w:val="00C07765"/>
    <w:rsid w:val="00C116E2"/>
    <w:rsid w:val="00C13421"/>
    <w:rsid w:val="00C26302"/>
    <w:rsid w:val="00C27833"/>
    <w:rsid w:val="00C31933"/>
    <w:rsid w:val="00C33EE4"/>
    <w:rsid w:val="00C345EF"/>
    <w:rsid w:val="00C359CC"/>
    <w:rsid w:val="00C427E1"/>
    <w:rsid w:val="00C43302"/>
    <w:rsid w:val="00C60E60"/>
    <w:rsid w:val="00C62E3C"/>
    <w:rsid w:val="00C63A68"/>
    <w:rsid w:val="00C66719"/>
    <w:rsid w:val="00C83D32"/>
    <w:rsid w:val="00C84D17"/>
    <w:rsid w:val="00C85FB2"/>
    <w:rsid w:val="00C9139A"/>
    <w:rsid w:val="00CA08E1"/>
    <w:rsid w:val="00CA0B05"/>
    <w:rsid w:val="00CB452F"/>
    <w:rsid w:val="00CB4C8D"/>
    <w:rsid w:val="00CD17F8"/>
    <w:rsid w:val="00CD5305"/>
    <w:rsid w:val="00CE1A68"/>
    <w:rsid w:val="00CF207D"/>
    <w:rsid w:val="00CF3F55"/>
    <w:rsid w:val="00CF7E07"/>
    <w:rsid w:val="00D032A8"/>
    <w:rsid w:val="00D1146E"/>
    <w:rsid w:val="00D161D6"/>
    <w:rsid w:val="00D170C3"/>
    <w:rsid w:val="00D30E36"/>
    <w:rsid w:val="00D31FBD"/>
    <w:rsid w:val="00D32C9E"/>
    <w:rsid w:val="00D34678"/>
    <w:rsid w:val="00D3717A"/>
    <w:rsid w:val="00D51F64"/>
    <w:rsid w:val="00D60E26"/>
    <w:rsid w:val="00D61059"/>
    <w:rsid w:val="00D625BB"/>
    <w:rsid w:val="00D711F4"/>
    <w:rsid w:val="00D72DD5"/>
    <w:rsid w:val="00D73F43"/>
    <w:rsid w:val="00D75666"/>
    <w:rsid w:val="00D8105E"/>
    <w:rsid w:val="00D83E34"/>
    <w:rsid w:val="00D85C8C"/>
    <w:rsid w:val="00D86CE5"/>
    <w:rsid w:val="00D87537"/>
    <w:rsid w:val="00D9047C"/>
    <w:rsid w:val="00DA24E3"/>
    <w:rsid w:val="00DA2FFE"/>
    <w:rsid w:val="00DA3CE6"/>
    <w:rsid w:val="00DA71FC"/>
    <w:rsid w:val="00DB0C84"/>
    <w:rsid w:val="00DB287A"/>
    <w:rsid w:val="00DB5BD7"/>
    <w:rsid w:val="00DB6ED2"/>
    <w:rsid w:val="00DC21A8"/>
    <w:rsid w:val="00DD0F1F"/>
    <w:rsid w:val="00DE1D53"/>
    <w:rsid w:val="00DE28F6"/>
    <w:rsid w:val="00DE69DB"/>
    <w:rsid w:val="00DF47ED"/>
    <w:rsid w:val="00DF55FA"/>
    <w:rsid w:val="00E04281"/>
    <w:rsid w:val="00E06E00"/>
    <w:rsid w:val="00E07698"/>
    <w:rsid w:val="00E12E73"/>
    <w:rsid w:val="00E15F39"/>
    <w:rsid w:val="00E17957"/>
    <w:rsid w:val="00E2160C"/>
    <w:rsid w:val="00E21DB6"/>
    <w:rsid w:val="00E24A9C"/>
    <w:rsid w:val="00E30696"/>
    <w:rsid w:val="00E33D6C"/>
    <w:rsid w:val="00E43E31"/>
    <w:rsid w:val="00E51B66"/>
    <w:rsid w:val="00E54A42"/>
    <w:rsid w:val="00E57E59"/>
    <w:rsid w:val="00E60537"/>
    <w:rsid w:val="00E62DF2"/>
    <w:rsid w:val="00E7007C"/>
    <w:rsid w:val="00E80D73"/>
    <w:rsid w:val="00E81122"/>
    <w:rsid w:val="00E83BB5"/>
    <w:rsid w:val="00E866F7"/>
    <w:rsid w:val="00EB05DF"/>
    <w:rsid w:val="00EB236D"/>
    <w:rsid w:val="00EB5237"/>
    <w:rsid w:val="00EB6055"/>
    <w:rsid w:val="00EC2D0C"/>
    <w:rsid w:val="00EC3808"/>
    <w:rsid w:val="00ED52B1"/>
    <w:rsid w:val="00EE29BA"/>
    <w:rsid w:val="00EE339D"/>
    <w:rsid w:val="00EE7458"/>
    <w:rsid w:val="00EF556D"/>
    <w:rsid w:val="00EF5EFE"/>
    <w:rsid w:val="00EF6F56"/>
    <w:rsid w:val="00F047FD"/>
    <w:rsid w:val="00F06E52"/>
    <w:rsid w:val="00F16604"/>
    <w:rsid w:val="00F245AF"/>
    <w:rsid w:val="00F24868"/>
    <w:rsid w:val="00F30EDA"/>
    <w:rsid w:val="00F31EBB"/>
    <w:rsid w:val="00F3443F"/>
    <w:rsid w:val="00F37401"/>
    <w:rsid w:val="00F60EE2"/>
    <w:rsid w:val="00F6181E"/>
    <w:rsid w:val="00F624C0"/>
    <w:rsid w:val="00F72646"/>
    <w:rsid w:val="00F74920"/>
    <w:rsid w:val="00F7542E"/>
    <w:rsid w:val="00F8009A"/>
    <w:rsid w:val="00F93AE4"/>
    <w:rsid w:val="00F96C3D"/>
    <w:rsid w:val="00FA341B"/>
    <w:rsid w:val="00FA49E0"/>
    <w:rsid w:val="00FA7924"/>
    <w:rsid w:val="00FC41C0"/>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South Northamptonshire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19.403986101943886</c:v>
                </c:pt>
                <c:pt idx="1">
                  <c:v>19.284812574522149</c:v>
                </c:pt>
                <c:pt idx="2">
                  <c:v>29.929506251443669</c:v>
                </c:pt>
              </c:numCache>
            </c:numRef>
          </c:val>
        </c:ser>
        <c:marker val="1"/>
        <c:axId val="151514112"/>
        <c:axId val="151544576"/>
      </c:lineChart>
      <c:catAx>
        <c:axId val="151514112"/>
        <c:scaling>
          <c:orientation val="minMax"/>
        </c:scaling>
        <c:axPos val="b"/>
        <c:numFmt formatCode="General" sourceLinked="1"/>
        <c:tickLblPos val="nextTo"/>
        <c:crossAx val="151544576"/>
        <c:crosses val="autoZero"/>
        <c:auto val="1"/>
        <c:lblAlgn val="ctr"/>
        <c:lblOffset val="100"/>
      </c:catAx>
      <c:valAx>
        <c:axId val="15154457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514112"/>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South Northamptonshire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10.589029909917604</c:v>
                </c:pt>
                <c:pt idx="1">
                  <c:v>10.670239470821302</c:v>
                </c:pt>
                <c:pt idx="2">
                  <c:v>10.850743423438912</c:v>
                </c:pt>
              </c:numCache>
            </c:numRef>
          </c:val>
        </c:ser>
        <c:marker val="1"/>
        <c:axId val="152455808"/>
        <c:axId val="152482176"/>
      </c:lineChart>
      <c:catAx>
        <c:axId val="152455808"/>
        <c:scaling>
          <c:orientation val="minMax"/>
        </c:scaling>
        <c:axPos val="b"/>
        <c:numFmt formatCode="General" sourceLinked="1"/>
        <c:tickLblPos val="nextTo"/>
        <c:crossAx val="152482176"/>
        <c:crosses val="autoZero"/>
        <c:auto val="1"/>
        <c:lblAlgn val="ctr"/>
        <c:lblOffset val="100"/>
      </c:catAx>
      <c:valAx>
        <c:axId val="15248217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455808"/>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South Northamptonshire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5.5219849246231201</c:v>
                </c:pt>
                <c:pt idx="1">
                  <c:v>5.46644397206195</c:v>
                </c:pt>
                <c:pt idx="2">
                  <c:v>5.2254782872760375</c:v>
                </c:pt>
              </c:numCache>
            </c:numRef>
          </c:val>
        </c:ser>
        <c:axId val="152579072"/>
        <c:axId val="152589056"/>
      </c:barChart>
      <c:catAx>
        <c:axId val="152579072"/>
        <c:scaling>
          <c:orientation val="minMax"/>
        </c:scaling>
        <c:axPos val="b"/>
        <c:numFmt formatCode="General" sourceLinked="1"/>
        <c:tickLblPos val="nextTo"/>
        <c:crossAx val="152589056"/>
        <c:crosses val="autoZero"/>
        <c:auto val="1"/>
        <c:lblAlgn val="ctr"/>
        <c:lblOffset val="100"/>
      </c:catAx>
      <c:valAx>
        <c:axId val="152589056"/>
        <c:scaling>
          <c:orientation val="minMax"/>
        </c:scaling>
        <c:axPos val="l"/>
        <c:majorGridlines/>
        <c:numFmt formatCode="General" sourceLinked="1"/>
        <c:tickLblPos val="nextTo"/>
        <c:txPr>
          <a:bodyPr/>
          <a:lstStyle/>
          <a:p>
            <a:pPr>
              <a:defRPr sz="800"/>
            </a:pPr>
            <a:endParaRPr lang="en-US"/>
          </a:p>
        </c:txPr>
        <c:crossAx val="152579072"/>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South Northamptonshire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8.9082205453610079</c:v>
                </c:pt>
                <c:pt idx="1">
                  <c:v>8.9258545251663062</c:v>
                </c:pt>
                <c:pt idx="2">
                  <c:v>8.9506767745441724</c:v>
                </c:pt>
              </c:numCache>
            </c:numRef>
          </c:val>
        </c:ser>
        <c:marker val="1"/>
        <c:axId val="152611840"/>
        <c:axId val="152507136"/>
      </c:lineChart>
      <c:catAx>
        <c:axId val="152611840"/>
        <c:scaling>
          <c:orientation val="minMax"/>
        </c:scaling>
        <c:axPos val="b"/>
        <c:numFmt formatCode="General" sourceLinked="1"/>
        <c:tickLblPos val="nextTo"/>
        <c:crossAx val="152507136"/>
        <c:crosses val="autoZero"/>
        <c:auto val="1"/>
        <c:lblAlgn val="ctr"/>
        <c:lblOffset val="100"/>
      </c:catAx>
      <c:valAx>
        <c:axId val="15250713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611840"/>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South Northamptonshire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7.2055590452261304</c:v>
                </c:pt>
                <c:pt idx="1">
                  <c:v>7.2253264500455465</c:v>
                </c:pt>
                <c:pt idx="2">
                  <c:v>7.08776191922259</c:v>
                </c:pt>
              </c:numCache>
            </c:numRef>
          </c:val>
        </c:ser>
        <c:axId val="152542592"/>
        <c:axId val="152548480"/>
      </c:barChart>
      <c:catAx>
        <c:axId val="152542592"/>
        <c:scaling>
          <c:orientation val="minMax"/>
        </c:scaling>
        <c:axPos val="b"/>
        <c:numFmt formatCode="General" sourceLinked="1"/>
        <c:tickLblPos val="nextTo"/>
        <c:crossAx val="152548480"/>
        <c:crosses val="autoZero"/>
        <c:auto val="1"/>
        <c:lblAlgn val="ctr"/>
        <c:lblOffset val="100"/>
      </c:catAx>
      <c:valAx>
        <c:axId val="152548480"/>
        <c:scaling>
          <c:orientation val="minMax"/>
        </c:scaling>
        <c:axPos val="l"/>
        <c:majorGridlines/>
        <c:numFmt formatCode="General" sourceLinked="1"/>
        <c:tickLblPos val="nextTo"/>
        <c:txPr>
          <a:bodyPr/>
          <a:lstStyle/>
          <a:p>
            <a:pPr>
              <a:defRPr sz="800"/>
            </a:pPr>
            <a:endParaRPr lang="en-US"/>
          </a:p>
        </c:txPr>
        <c:crossAx val="152542592"/>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South Northamptonshire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7.3685642256902755</c:v>
                </c:pt>
                <c:pt idx="1">
                  <c:v>7.4298305579244941</c:v>
                </c:pt>
                <c:pt idx="2">
                  <c:v>7.4776172394212885</c:v>
                </c:pt>
              </c:numCache>
            </c:numRef>
          </c:val>
        </c:ser>
        <c:marker val="1"/>
        <c:axId val="152640896"/>
        <c:axId val="152654976"/>
      </c:lineChart>
      <c:catAx>
        <c:axId val="152640896"/>
        <c:scaling>
          <c:orientation val="minMax"/>
        </c:scaling>
        <c:axPos val="b"/>
        <c:numFmt formatCode="General" sourceLinked="1"/>
        <c:tickLblPos val="nextTo"/>
        <c:crossAx val="152654976"/>
        <c:crosses val="autoZero"/>
        <c:auto val="1"/>
        <c:lblAlgn val="ctr"/>
        <c:lblOffset val="100"/>
      </c:catAx>
      <c:valAx>
        <c:axId val="15265497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640896"/>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South Northamptonshire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52690688"/>
        <c:axId val="152692224"/>
      </c:barChart>
      <c:catAx>
        <c:axId val="152690688"/>
        <c:scaling>
          <c:orientation val="minMax"/>
        </c:scaling>
        <c:axPos val="b"/>
        <c:numFmt formatCode="General" sourceLinked="1"/>
        <c:tickLblPos val="nextTo"/>
        <c:crossAx val="152692224"/>
        <c:crosses val="autoZero"/>
        <c:auto val="1"/>
        <c:lblAlgn val="ctr"/>
        <c:lblOffset val="100"/>
      </c:catAx>
      <c:valAx>
        <c:axId val="152692224"/>
        <c:scaling>
          <c:orientation val="minMax"/>
        </c:scaling>
        <c:axPos val="l"/>
        <c:majorGridlines/>
        <c:numFmt formatCode="General" sourceLinked="1"/>
        <c:tickLblPos val="nextTo"/>
        <c:txPr>
          <a:bodyPr/>
          <a:lstStyle/>
          <a:p>
            <a:pPr>
              <a:defRPr sz="800"/>
            </a:pPr>
            <a:endParaRPr lang="en-US"/>
          </a:p>
        </c:txPr>
        <c:crossAx val="152690688"/>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South Northamptonshire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28.761729569484878</c:v>
                </c:pt>
                <c:pt idx="1">
                  <c:v>28.404116692966689</c:v>
                </c:pt>
                <c:pt idx="2">
                  <c:v>28.741381498058434</c:v>
                </c:pt>
              </c:numCache>
            </c:numRef>
          </c:val>
        </c:ser>
        <c:marker val="1"/>
        <c:axId val="152748032"/>
        <c:axId val="152749568"/>
      </c:lineChart>
      <c:catAx>
        <c:axId val="152748032"/>
        <c:scaling>
          <c:orientation val="minMax"/>
        </c:scaling>
        <c:axPos val="b"/>
        <c:numFmt formatCode="General" sourceLinked="1"/>
        <c:tickLblPos val="nextTo"/>
        <c:crossAx val="152749568"/>
        <c:crosses val="autoZero"/>
        <c:auto val="1"/>
        <c:lblAlgn val="ctr"/>
        <c:lblOffset val="100"/>
      </c:catAx>
      <c:valAx>
        <c:axId val="15274956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748032"/>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South Northamptonshire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0.89465124683773001</c:v>
                </c:pt>
                <c:pt idx="1">
                  <c:v>0.90464990048851246</c:v>
                </c:pt>
                <c:pt idx="2">
                  <c:v>0.92581870815994149</c:v>
                </c:pt>
              </c:numCache>
            </c:numRef>
          </c:val>
        </c:ser>
        <c:axId val="152866816"/>
        <c:axId val="152868352"/>
      </c:barChart>
      <c:catAx>
        <c:axId val="152866816"/>
        <c:scaling>
          <c:orientation val="minMax"/>
        </c:scaling>
        <c:axPos val="b"/>
        <c:numFmt formatCode="General" sourceLinked="1"/>
        <c:tickLblPos val="nextTo"/>
        <c:crossAx val="152868352"/>
        <c:crosses val="autoZero"/>
        <c:auto val="1"/>
        <c:lblAlgn val="ctr"/>
        <c:lblOffset val="100"/>
      </c:catAx>
      <c:valAx>
        <c:axId val="152868352"/>
        <c:scaling>
          <c:orientation val="minMax"/>
        </c:scaling>
        <c:axPos val="l"/>
        <c:majorGridlines/>
        <c:numFmt formatCode="General" sourceLinked="1"/>
        <c:tickLblPos val="nextTo"/>
        <c:txPr>
          <a:bodyPr/>
          <a:lstStyle/>
          <a:p>
            <a:pPr>
              <a:defRPr sz="800"/>
            </a:pPr>
            <a:endParaRPr lang="en-US"/>
          </a:p>
        </c:txPr>
        <c:crossAx val="152866816"/>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South Northamptonshire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20.398275195792621</c:v>
                </c:pt>
                <c:pt idx="1">
                  <c:v>20.249506710354989</c:v>
                </c:pt>
                <c:pt idx="2">
                  <c:v>20.185229441593975</c:v>
                </c:pt>
              </c:numCache>
            </c:numRef>
          </c:val>
        </c:ser>
        <c:marker val="1"/>
        <c:axId val="152772608"/>
        <c:axId val="152774144"/>
      </c:lineChart>
      <c:catAx>
        <c:axId val="152772608"/>
        <c:scaling>
          <c:orientation val="minMax"/>
        </c:scaling>
        <c:axPos val="b"/>
        <c:numFmt formatCode="General" sourceLinked="1"/>
        <c:tickLblPos val="nextTo"/>
        <c:crossAx val="152774144"/>
        <c:crosses val="autoZero"/>
        <c:auto val="1"/>
        <c:lblAlgn val="ctr"/>
        <c:lblOffset val="100"/>
      </c:catAx>
      <c:valAx>
        <c:axId val="15277414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772608"/>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South Northamptonshire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1.0106613661004686</c:v>
                </c:pt>
                <c:pt idx="1">
                  <c:v>1.0314818165369999</c:v>
                </c:pt>
                <c:pt idx="2">
                  <c:v>1.1447439840781601</c:v>
                </c:pt>
              </c:numCache>
            </c:numRef>
          </c:val>
        </c:ser>
        <c:axId val="152809856"/>
        <c:axId val="152811392"/>
      </c:barChart>
      <c:catAx>
        <c:axId val="152809856"/>
        <c:scaling>
          <c:orientation val="minMax"/>
        </c:scaling>
        <c:axPos val="b"/>
        <c:numFmt formatCode="General" sourceLinked="1"/>
        <c:tickLblPos val="nextTo"/>
        <c:crossAx val="152811392"/>
        <c:crosses val="autoZero"/>
        <c:auto val="1"/>
        <c:lblAlgn val="ctr"/>
        <c:lblOffset val="100"/>
      </c:catAx>
      <c:valAx>
        <c:axId val="152811392"/>
        <c:scaling>
          <c:orientation val="minMax"/>
        </c:scaling>
        <c:axPos val="l"/>
        <c:majorGridlines/>
        <c:numFmt formatCode="General" sourceLinked="1"/>
        <c:tickLblPos val="nextTo"/>
        <c:txPr>
          <a:bodyPr/>
          <a:lstStyle/>
          <a:p>
            <a:pPr>
              <a:defRPr sz="800"/>
            </a:pPr>
            <a:endParaRPr lang="en-US"/>
          </a:p>
        </c:txPr>
        <c:crossAx val="152809856"/>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South Northamptonshire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14.659937214397514</c:v>
                </c:pt>
                <c:pt idx="1">
                  <c:v>14.729548443101587</c:v>
                </c:pt>
                <c:pt idx="2">
                  <c:v>14.462381263626614</c:v>
                </c:pt>
              </c:numCache>
            </c:numRef>
          </c:val>
        </c:ser>
        <c:marker val="1"/>
        <c:axId val="151572480"/>
        <c:axId val="151574016"/>
      </c:lineChart>
      <c:catAx>
        <c:axId val="151572480"/>
        <c:scaling>
          <c:orientation val="minMax"/>
        </c:scaling>
        <c:axPos val="b"/>
        <c:numFmt formatCode="General" sourceLinked="1"/>
        <c:tickLblPos val="nextTo"/>
        <c:crossAx val="151574016"/>
        <c:crosses val="autoZero"/>
        <c:auto val="1"/>
        <c:lblAlgn val="ctr"/>
        <c:lblOffset val="100"/>
      </c:catAx>
      <c:valAx>
        <c:axId val="15157401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572480"/>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South Northamptonshire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11.7113542559881</c:v>
                </c:pt>
                <c:pt idx="1">
                  <c:v>11.7840358633691</c:v>
                </c:pt>
                <c:pt idx="2">
                  <c:v>11.934865697436498</c:v>
                </c:pt>
              </c:numCache>
            </c:numRef>
          </c:val>
        </c:ser>
        <c:marker val="1"/>
        <c:axId val="152912256"/>
        <c:axId val="152913792"/>
      </c:lineChart>
      <c:catAx>
        <c:axId val="152912256"/>
        <c:scaling>
          <c:orientation val="minMax"/>
        </c:scaling>
        <c:axPos val="b"/>
        <c:numFmt formatCode="General" sourceLinked="1"/>
        <c:tickLblPos val="nextTo"/>
        <c:crossAx val="152913792"/>
        <c:crosses val="autoZero"/>
        <c:auto val="1"/>
        <c:lblAlgn val="ctr"/>
        <c:lblOffset val="100"/>
      </c:catAx>
      <c:valAx>
        <c:axId val="15291379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912256"/>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South Northamptonshire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9.7329237441271985</c:v>
                </c:pt>
                <c:pt idx="1">
                  <c:v>9.7845123937036398</c:v>
                </c:pt>
                <c:pt idx="2">
                  <c:v>9.7971774923104569</c:v>
                </c:pt>
              </c:numCache>
            </c:numRef>
          </c:val>
        </c:ser>
        <c:axId val="152969984"/>
        <c:axId val="152971520"/>
      </c:barChart>
      <c:catAx>
        <c:axId val="152969984"/>
        <c:scaling>
          <c:orientation val="minMax"/>
        </c:scaling>
        <c:axPos val="b"/>
        <c:numFmt formatCode="General" sourceLinked="1"/>
        <c:tickLblPos val="nextTo"/>
        <c:crossAx val="152971520"/>
        <c:crosses val="autoZero"/>
        <c:auto val="1"/>
        <c:lblAlgn val="ctr"/>
        <c:lblOffset val="100"/>
      </c:catAx>
      <c:valAx>
        <c:axId val="152971520"/>
        <c:scaling>
          <c:orientation val="minMax"/>
        </c:scaling>
        <c:axPos val="l"/>
        <c:majorGridlines/>
        <c:numFmt formatCode="General" sourceLinked="1"/>
        <c:tickLblPos val="nextTo"/>
        <c:txPr>
          <a:bodyPr/>
          <a:lstStyle/>
          <a:p>
            <a:pPr>
              <a:defRPr sz="800"/>
            </a:pPr>
            <a:endParaRPr lang="en-US"/>
          </a:p>
        </c:txPr>
        <c:crossAx val="152969984"/>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South Northamptonshire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28.760710933459077</c:v>
                </c:pt>
                <c:pt idx="1">
                  <c:v>28.401476496973402</c:v>
                </c:pt>
                <c:pt idx="2">
                  <c:v>31.907177800743789</c:v>
                </c:pt>
              </c:numCache>
            </c:numRef>
          </c:val>
        </c:ser>
        <c:marker val="1"/>
        <c:axId val="153010944"/>
        <c:axId val="153012480"/>
      </c:lineChart>
      <c:catAx>
        <c:axId val="153010944"/>
        <c:scaling>
          <c:orientation val="minMax"/>
        </c:scaling>
        <c:axPos val="b"/>
        <c:numFmt formatCode="General" sourceLinked="1"/>
        <c:tickLblPos val="nextTo"/>
        <c:crossAx val="153012480"/>
        <c:crosses val="autoZero"/>
        <c:auto val="1"/>
        <c:lblAlgn val="ctr"/>
        <c:lblOffset val="100"/>
      </c:catAx>
      <c:valAx>
        <c:axId val="15301248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010944"/>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South Northamptonshire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0.91039878849066058</c:v>
                </c:pt>
                <c:pt idx="1">
                  <c:v>0.94177403369672985</c:v>
                </c:pt>
                <c:pt idx="2">
                  <c:v>0.71828543111992105</c:v>
                </c:pt>
              </c:numCache>
            </c:numRef>
          </c:val>
        </c:ser>
        <c:axId val="153052288"/>
        <c:axId val="153053824"/>
      </c:barChart>
      <c:catAx>
        <c:axId val="153052288"/>
        <c:scaling>
          <c:orientation val="minMax"/>
        </c:scaling>
        <c:axPos val="b"/>
        <c:numFmt formatCode="General" sourceLinked="1"/>
        <c:tickLblPos val="nextTo"/>
        <c:crossAx val="153053824"/>
        <c:crosses val="autoZero"/>
        <c:auto val="1"/>
        <c:lblAlgn val="ctr"/>
        <c:lblOffset val="100"/>
      </c:catAx>
      <c:valAx>
        <c:axId val="153053824"/>
        <c:scaling>
          <c:orientation val="minMax"/>
        </c:scaling>
        <c:axPos val="l"/>
        <c:majorGridlines/>
        <c:numFmt formatCode="General" sourceLinked="1"/>
        <c:tickLblPos val="nextTo"/>
        <c:txPr>
          <a:bodyPr/>
          <a:lstStyle/>
          <a:p>
            <a:pPr>
              <a:defRPr sz="800"/>
            </a:pPr>
            <a:endParaRPr lang="en-US"/>
          </a:p>
        </c:txPr>
        <c:crossAx val="153052288"/>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South Northamptonshire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20.398275195792618</c:v>
                </c:pt>
                <c:pt idx="1">
                  <c:v>20.249506710355089</c:v>
                </c:pt>
                <c:pt idx="2">
                  <c:v>22.61947862280833</c:v>
                </c:pt>
              </c:numCache>
            </c:numRef>
          </c:val>
        </c:ser>
        <c:marker val="1"/>
        <c:axId val="153109632"/>
        <c:axId val="153111168"/>
      </c:lineChart>
      <c:catAx>
        <c:axId val="153109632"/>
        <c:scaling>
          <c:orientation val="minMax"/>
        </c:scaling>
        <c:axPos val="b"/>
        <c:numFmt formatCode="General" sourceLinked="1"/>
        <c:tickLblPos val="nextTo"/>
        <c:crossAx val="153111168"/>
        <c:crosses val="autoZero"/>
        <c:auto val="1"/>
        <c:lblAlgn val="ctr"/>
        <c:lblOffset val="100"/>
      </c:catAx>
      <c:valAx>
        <c:axId val="15311116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109632"/>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South Northamptonshire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1.00302877334679</c:v>
                </c:pt>
                <c:pt idx="1">
                  <c:v>1.0235381565906798</c:v>
                </c:pt>
                <c:pt idx="2">
                  <c:v>0.79435084241823595</c:v>
                </c:pt>
              </c:numCache>
            </c:numRef>
          </c:val>
        </c:ser>
        <c:axId val="153155072"/>
        <c:axId val="153156608"/>
      </c:barChart>
      <c:catAx>
        <c:axId val="153155072"/>
        <c:scaling>
          <c:orientation val="minMax"/>
        </c:scaling>
        <c:axPos val="b"/>
        <c:numFmt formatCode="General" sourceLinked="1"/>
        <c:tickLblPos val="nextTo"/>
        <c:crossAx val="153156608"/>
        <c:crosses val="autoZero"/>
        <c:auto val="1"/>
        <c:lblAlgn val="ctr"/>
        <c:lblOffset val="100"/>
      </c:catAx>
      <c:valAx>
        <c:axId val="153156608"/>
        <c:scaling>
          <c:orientation val="minMax"/>
        </c:scaling>
        <c:axPos val="l"/>
        <c:majorGridlines/>
        <c:numFmt formatCode="General" sourceLinked="1"/>
        <c:tickLblPos val="nextTo"/>
        <c:txPr>
          <a:bodyPr/>
          <a:lstStyle/>
          <a:p>
            <a:pPr>
              <a:defRPr sz="800"/>
            </a:pPr>
            <a:endParaRPr lang="en-US"/>
          </a:p>
        </c:txPr>
        <c:crossAx val="153155072"/>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South Northamptonshire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11.7113542559881</c:v>
                </c:pt>
                <c:pt idx="1">
                  <c:v>11.788491965528101</c:v>
                </c:pt>
                <c:pt idx="2">
                  <c:v>13.0025127879154</c:v>
                </c:pt>
              </c:numCache>
            </c:numRef>
          </c:val>
        </c:ser>
        <c:marker val="1"/>
        <c:axId val="153196032"/>
        <c:axId val="153197568"/>
      </c:lineChart>
      <c:catAx>
        <c:axId val="153196032"/>
        <c:scaling>
          <c:orientation val="minMax"/>
        </c:scaling>
        <c:axPos val="b"/>
        <c:numFmt formatCode="General" sourceLinked="1"/>
        <c:tickLblPos val="nextTo"/>
        <c:crossAx val="153197568"/>
        <c:crosses val="autoZero"/>
        <c:auto val="1"/>
        <c:lblAlgn val="ctr"/>
        <c:lblOffset val="100"/>
      </c:catAx>
      <c:valAx>
        <c:axId val="15319756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196032"/>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South Northamptonshire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9.7390206966178603</c:v>
                </c:pt>
                <c:pt idx="1">
                  <c:v>9.8121902874132889</c:v>
                </c:pt>
                <c:pt idx="2">
                  <c:v>9.6000991080277505</c:v>
                </c:pt>
              </c:numCache>
            </c:numRef>
          </c:val>
        </c:ser>
        <c:axId val="153241856"/>
        <c:axId val="153260032"/>
      </c:barChart>
      <c:catAx>
        <c:axId val="153241856"/>
        <c:scaling>
          <c:orientation val="minMax"/>
        </c:scaling>
        <c:axPos val="b"/>
        <c:numFmt formatCode="General" sourceLinked="1"/>
        <c:tickLblPos val="nextTo"/>
        <c:crossAx val="153260032"/>
        <c:crosses val="autoZero"/>
        <c:auto val="1"/>
        <c:lblAlgn val="ctr"/>
        <c:lblOffset val="100"/>
      </c:catAx>
      <c:valAx>
        <c:axId val="153260032"/>
        <c:scaling>
          <c:orientation val="minMax"/>
        </c:scaling>
        <c:axPos val="l"/>
        <c:majorGridlines/>
        <c:numFmt formatCode="General" sourceLinked="1"/>
        <c:tickLblPos val="nextTo"/>
        <c:txPr>
          <a:bodyPr/>
          <a:lstStyle/>
          <a:p>
            <a:pPr>
              <a:defRPr sz="800"/>
            </a:pPr>
            <a:endParaRPr lang="en-US"/>
          </a:p>
        </c:txPr>
        <c:crossAx val="153241856"/>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South Northamptonshire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19.412858648817526</c:v>
                </c:pt>
                <c:pt idx="1">
                  <c:v>19.8333968233188</c:v>
                </c:pt>
              </c:numCache>
            </c:numRef>
          </c:val>
        </c:ser>
        <c:marker val="1"/>
        <c:axId val="153286912"/>
        <c:axId val="153292800"/>
      </c:lineChart>
      <c:catAx>
        <c:axId val="153286912"/>
        <c:scaling>
          <c:orientation val="minMax"/>
        </c:scaling>
        <c:axPos val="b"/>
        <c:numFmt formatCode="General" sourceLinked="1"/>
        <c:tickLblPos val="nextTo"/>
        <c:crossAx val="153292800"/>
        <c:crosses val="autoZero"/>
        <c:auto val="1"/>
        <c:lblAlgn val="ctr"/>
        <c:lblOffset val="100"/>
      </c:catAx>
      <c:valAx>
        <c:axId val="15329280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286912"/>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South Northamptonshire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2.92266405717166</c:v>
                </c:pt>
                <c:pt idx="1">
                  <c:v>2.9047936455035299</c:v>
                </c:pt>
              </c:numCache>
            </c:numRef>
          </c:val>
        </c:ser>
        <c:axId val="153332352"/>
        <c:axId val="153346432"/>
      </c:barChart>
      <c:catAx>
        <c:axId val="153332352"/>
        <c:scaling>
          <c:orientation val="minMax"/>
        </c:scaling>
        <c:axPos val="b"/>
        <c:numFmt formatCode="General" sourceLinked="1"/>
        <c:tickLblPos val="nextTo"/>
        <c:crossAx val="153346432"/>
        <c:crosses val="autoZero"/>
        <c:auto val="1"/>
        <c:lblAlgn val="ctr"/>
        <c:lblOffset val="100"/>
      </c:catAx>
      <c:valAx>
        <c:axId val="153346432"/>
        <c:scaling>
          <c:orientation val="minMax"/>
        </c:scaling>
        <c:axPos val="l"/>
        <c:majorGridlines/>
        <c:numFmt formatCode="General" sourceLinked="1"/>
        <c:tickLblPos val="nextTo"/>
        <c:txPr>
          <a:bodyPr/>
          <a:lstStyle/>
          <a:p>
            <a:pPr>
              <a:defRPr sz="800"/>
            </a:pPr>
            <a:endParaRPr lang="en-US"/>
          </a:p>
        </c:txPr>
        <c:crossAx val="153332352"/>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South Northamptonshire</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9.5185921151308239</c:v>
                </c:pt>
                <c:pt idx="1">
                  <c:v>9.6594594318288252</c:v>
                </c:pt>
                <c:pt idx="2">
                  <c:v>9.6239777195522684</c:v>
                </c:pt>
              </c:numCache>
            </c:numRef>
          </c:val>
        </c:ser>
        <c:marker val="1"/>
        <c:axId val="122528128"/>
        <c:axId val="122529664"/>
      </c:lineChart>
      <c:catAx>
        <c:axId val="122528128"/>
        <c:scaling>
          <c:orientation val="minMax"/>
        </c:scaling>
        <c:axPos val="b"/>
        <c:numFmt formatCode="General" sourceLinked="1"/>
        <c:tickLblPos val="nextTo"/>
        <c:crossAx val="122529664"/>
        <c:crosses val="autoZero"/>
        <c:auto val="1"/>
        <c:lblAlgn val="ctr"/>
        <c:lblOffset val="100"/>
      </c:catAx>
      <c:valAx>
        <c:axId val="122529664"/>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22528128"/>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South Northamptonshire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13.578174126793591</c:v>
                </c:pt>
                <c:pt idx="1">
                  <c:v>14.274943781139189</c:v>
                </c:pt>
              </c:numCache>
            </c:numRef>
          </c:val>
        </c:ser>
        <c:marker val="1"/>
        <c:axId val="153373312"/>
        <c:axId val="153379200"/>
      </c:lineChart>
      <c:catAx>
        <c:axId val="153373312"/>
        <c:scaling>
          <c:orientation val="minMax"/>
        </c:scaling>
        <c:axPos val="b"/>
        <c:numFmt formatCode="General" sourceLinked="1"/>
        <c:tickLblPos val="nextTo"/>
        <c:crossAx val="153379200"/>
        <c:crosses val="autoZero"/>
        <c:auto val="1"/>
        <c:lblAlgn val="ctr"/>
        <c:lblOffset val="100"/>
      </c:catAx>
      <c:valAx>
        <c:axId val="15337920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373312"/>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South Northamptonshire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3.4315155828366399</c:v>
                </c:pt>
                <c:pt idx="1">
                  <c:v>3.3421096483919324</c:v>
                </c:pt>
              </c:numCache>
            </c:numRef>
          </c:val>
        </c:ser>
        <c:axId val="153422848"/>
        <c:axId val="153432832"/>
      </c:barChart>
      <c:catAx>
        <c:axId val="153422848"/>
        <c:scaling>
          <c:orientation val="minMax"/>
        </c:scaling>
        <c:axPos val="b"/>
        <c:numFmt formatCode="General" sourceLinked="1"/>
        <c:tickLblPos val="nextTo"/>
        <c:crossAx val="153432832"/>
        <c:crosses val="autoZero"/>
        <c:auto val="1"/>
        <c:lblAlgn val="ctr"/>
        <c:lblOffset val="100"/>
      </c:catAx>
      <c:valAx>
        <c:axId val="153432832"/>
        <c:scaling>
          <c:orientation val="minMax"/>
        </c:scaling>
        <c:axPos val="l"/>
        <c:majorGridlines/>
        <c:numFmt formatCode="General" sourceLinked="1"/>
        <c:tickLblPos val="nextTo"/>
        <c:txPr>
          <a:bodyPr/>
          <a:lstStyle/>
          <a:p>
            <a:pPr>
              <a:defRPr sz="800"/>
            </a:pPr>
            <a:endParaRPr lang="en-US"/>
          </a:p>
        </c:txPr>
        <c:crossAx val="153422848"/>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South Northamptonshire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9.0628650590975894</c:v>
                </c:pt>
                <c:pt idx="1">
                  <c:v>9.2742727456348835</c:v>
                </c:pt>
              </c:numCache>
            </c:numRef>
          </c:val>
        </c:ser>
        <c:marker val="1"/>
        <c:axId val="153472000"/>
        <c:axId val="153481984"/>
      </c:lineChart>
      <c:catAx>
        <c:axId val="153472000"/>
        <c:scaling>
          <c:orientation val="minMax"/>
        </c:scaling>
        <c:axPos val="b"/>
        <c:numFmt formatCode="General" sourceLinked="1"/>
        <c:tickLblPos val="nextTo"/>
        <c:crossAx val="153481984"/>
        <c:crosses val="autoZero"/>
        <c:auto val="1"/>
        <c:lblAlgn val="ctr"/>
        <c:lblOffset val="100"/>
      </c:catAx>
      <c:valAx>
        <c:axId val="15348198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472000"/>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South Northamptonshire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10</c:v>
                </c:pt>
                <c:pt idx="1">
                  <c:v>10</c:v>
                </c:pt>
              </c:numCache>
            </c:numRef>
          </c:val>
        </c:ser>
        <c:axId val="153509248"/>
        <c:axId val="153519232"/>
      </c:barChart>
      <c:catAx>
        <c:axId val="153509248"/>
        <c:scaling>
          <c:orientation val="minMax"/>
        </c:scaling>
        <c:axPos val="b"/>
        <c:numFmt formatCode="General" sourceLinked="1"/>
        <c:tickLblPos val="nextTo"/>
        <c:crossAx val="153519232"/>
        <c:crosses val="autoZero"/>
        <c:auto val="1"/>
        <c:lblAlgn val="ctr"/>
        <c:lblOffset val="100"/>
      </c:catAx>
      <c:valAx>
        <c:axId val="153519232"/>
        <c:scaling>
          <c:orientation val="minMax"/>
        </c:scaling>
        <c:axPos val="l"/>
        <c:majorGridlines/>
        <c:numFmt formatCode="General" sourceLinked="1"/>
        <c:tickLblPos val="nextTo"/>
        <c:txPr>
          <a:bodyPr/>
          <a:lstStyle/>
          <a:p>
            <a:pPr>
              <a:defRPr sz="800"/>
            </a:pPr>
            <a:endParaRPr lang="en-US"/>
          </a:p>
        </c:txPr>
        <c:crossAx val="153509248"/>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South Northamptonshire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58.432451185617047</c:v>
                </c:pt>
                <c:pt idx="1">
                  <c:v>58.747688844266797</c:v>
                </c:pt>
              </c:numCache>
            </c:numRef>
          </c:val>
        </c:ser>
        <c:marker val="1"/>
        <c:axId val="153563136"/>
        <c:axId val="153564672"/>
      </c:lineChart>
      <c:catAx>
        <c:axId val="153563136"/>
        <c:scaling>
          <c:orientation val="minMax"/>
        </c:scaling>
        <c:axPos val="b"/>
        <c:numFmt formatCode="General" sourceLinked="1"/>
        <c:tickLblPos val="nextTo"/>
        <c:crossAx val="153564672"/>
        <c:crosses val="autoZero"/>
        <c:auto val="1"/>
        <c:lblAlgn val="ctr"/>
        <c:lblOffset val="100"/>
      </c:catAx>
      <c:valAx>
        <c:axId val="15356467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563136"/>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South Northamptonshire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4.3560774545562404E-2</c:v>
                </c:pt>
                <c:pt idx="1">
                  <c:v>4.2187413208909598E-2</c:v>
                </c:pt>
              </c:numCache>
            </c:numRef>
          </c:val>
        </c:ser>
        <c:axId val="153608576"/>
        <c:axId val="153610112"/>
      </c:barChart>
      <c:catAx>
        <c:axId val="153608576"/>
        <c:scaling>
          <c:orientation val="minMax"/>
        </c:scaling>
        <c:axPos val="b"/>
        <c:numFmt formatCode="General" sourceLinked="1"/>
        <c:tickLblPos val="nextTo"/>
        <c:crossAx val="153610112"/>
        <c:crosses val="autoZero"/>
        <c:auto val="1"/>
        <c:lblAlgn val="ctr"/>
        <c:lblOffset val="100"/>
      </c:catAx>
      <c:valAx>
        <c:axId val="153610112"/>
        <c:scaling>
          <c:orientation val="minMax"/>
        </c:scaling>
        <c:axPos val="l"/>
        <c:majorGridlines/>
        <c:numFmt formatCode="General" sourceLinked="1"/>
        <c:tickLblPos val="nextTo"/>
        <c:txPr>
          <a:bodyPr/>
          <a:lstStyle/>
          <a:p>
            <a:pPr>
              <a:defRPr sz="800"/>
            </a:pPr>
            <a:endParaRPr lang="en-US"/>
          </a:p>
        </c:txPr>
        <c:crossAx val="153608576"/>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South Northamptonshire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48.472005945235203</c:v>
                </c:pt>
                <c:pt idx="1">
                  <c:v>55.401763656357964</c:v>
                </c:pt>
              </c:numCache>
            </c:numRef>
          </c:val>
        </c:ser>
        <c:marker val="1"/>
        <c:axId val="153702784"/>
        <c:axId val="153704320"/>
      </c:lineChart>
      <c:catAx>
        <c:axId val="153702784"/>
        <c:scaling>
          <c:orientation val="minMax"/>
        </c:scaling>
        <c:axPos val="b"/>
        <c:numFmt formatCode="General" sourceLinked="1"/>
        <c:tickLblPos val="nextTo"/>
        <c:crossAx val="153704320"/>
        <c:crosses val="autoZero"/>
        <c:auto val="1"/>
        <c:lblAlgn val="ctr"/>
        <c:lblOffset val="100"/>
      </c:catAx>
      <c:valAx>
        <c:axId val="15370432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702784"/>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South Northamptonshire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5.8683984224416688E-2</c:v>
                </c:pt>
                <c:pt idx="1">
                  <c:v>2.1385324668110925E-2</c:v>
                </c:pt>
              </c:numCache>
            </c:numRef>
          </c:val>
        </c:ser>
        <c:axId val="153748224"/>
        <c:axId val="153749760"/>
      </c:barChart>
      <c:catAx>
        <c:axId val="153748224"/>
        <c:scaling>
          <c:orientation val="minMax"/>
        </c:scaling>
        <c:axPos val="b"/>
        <c:numFmt formatCode="General" sourceLinked="1"/>
        <c:tickLblPos val="nextTo"/>
        <c:crossAx val="153749760"/>
        <c:crosses val="autoZero"/>
        <c:auto val="1"/>
        <c:lblAlgn val="ctr"/>
        <c:lblOffset val="100"/>
      </c:catAx>
      <c:valAx>
        <c:axId val="153749760"/>
        <c:scaling>
          <c:orientation val="minMax"/>
        </c:scaling>
        <c:axPos val="l"/>
        <c:majorGridlines/>
        <c:numFmt formatCode="General" sourceLinked="1"/>
        <c:tickLblPos val="nextTo"/>
        <c:txPr>
          <a:bodyPr/>
          <a:lstStyle/>
          <a:p>
            <a:pPr>
              <a:defRPr sz="800"/>
            </a:pPr>
            <a:endParaRPr lang="en-US"/>
          </a:p>
        </c:txPr>
        <c:crossAx val="153748224"/>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South Northamptonshire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22.600480192076805</c:v>
                </c:pt>
                <c:pt idx="1">
                  <c:v>24.485706270478854</c:v>
                </c:pt>
              </c:numCache>
            </c:numRef>
          </c:val>
        </c:ser>
        <c:marker val="1"/>
        <c:axId val="153801472"/>
        <c:axId val="153803008"/>
      </c:lineChart>
      <c:catAx>
        <c:axId val="153801472"/>
        <c:scaling>
          <c:orientation val="minMax"/>
        </c:scaling>
        <c:axPos val="b"/>
        <c:numFmt formatCode="General" sourceLinked="1"/>
        <c:tickLblPos val="nextTo"/>
        <c:crossAx val="153803008"/>
        <c:crosses val="autoZero"/>
        <c:auto val="1"/>
        <c:lblAlgn val="ctr"/>
        <c:lblOffset val="100"/>
      </c:catAx>
      <c:valAx>
        <c:axId val="15380300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801472"/>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South Northamptonshire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1.3177060166651788</c:v>
                </c:pt>
                <c:pt idx="1">
                  <c:v>0.89065711270343795</c:v>
                </c:pt>
              </c:numCache>
            </c:numRef>
          </c:val>
        </c:ser>
        <c:axId val="153851008"/>
        <c:axId val="153852544"/>
      </c:barChart>
      <c:catAx>
        <c:axId val="153851008"/>
        <c:scaling>
          <c:orientation val="minMax"/>
        </c:scaling>
        <c:axPos val="b"/>
        <c:numFmt formatCode="General" sourceLinked="1"/>
        <c:tickLblPos val="nextTo"/>
        <c:crossAx val="153852544"/>
        <c:crosses val="autoZero"/>
        <c:auto val="1"/>
        <c:lblAlgn val="ctr"/>
        <c:lblOffset val="100"/>
      </c:catAx>
      <c:valAx>
        <c:axId val="153852544"/>
        <c:scaling>
          <c:orientation val="minMax"/>
        </c:scaling>
        <c:axPos val="l"/>
        <c:majorGridlines/>
        <c:numFmt formatCode="General" sourceLinked="1"/>
        <c:tickLblPos val="nextTo"/>
        <c:txPr>
          <a:bodyPr/>
          <a:lstStyle/>
          <a:p>
            <a:pPr>
              <a:defRPr sz="800"/>
            </a:pPr>
            <a:endParaRPr lang="en-US"/>
          </a:p>
        </c:txPr>
        <c:crossAx val="153851008"/>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South Northamptonshire</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21.010969997598224</c:v>
                </c:pt>
                <c:pt idx="1">
                  <c:v>21.207614243346971</c:v>
                </c:pt>
                <c:pt idx="2">
                  <c:v>22.182046137898986</c:v>
                </c:pt>
              </c:numCache>
            </c:numRef>
          </c:val>
        </c:ser>
        <c:marker val="1"/>
        <c:axId val="152199936"/>
        <c:axId val="152201472"/>
      </c:lineChart>
      <c:catAx>
        <c:axId val="152199936"/>
        <c:scaling>
          <c:orientation val="minMax"/>
        </c:scaling>
        <c:axPos val="b"/>
        <c:numFmt formatCode="General" sourceLinked="1"/>
        <c:tickLblPos val="nextTo"/>
        <c:crossAx val="152201472"/>
        <c:crosses val="autoZero"/>
        <c:auto val="1"/>
        <c:lblAlgn val="ctr"/>
        <c:lblOffset val="100"/>
      </c:catAx>
      <c:valAx>
        <c:axId val="152201472"/>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199936"/>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South Northamptonshire</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16.382623706018087</c:v>
                </c:pt>
              </c:numCache>
            </c:numRef>
          </c:val>
        </c:ser>
        <c:axId val="153896064"/>
        <c:axId val="153897600"/>
      </c:barChart>
      <c:catAx>
        <c:axId val="153896064"/>
        <c:scaling>
          <c:orientation val="minMax"/>
        </c:scaling>
        <c:axPos val="b"/>
        <c:numFmt formatCode="General" sourceLinked="1"/>
        <c:tickLblPos val="nextTo"/>
        <c:crossAx val="153897600"/>
        <c:crosses val="autoZero"/>
        <c:auto val="1"/>
        <c:lblAlgn val="ctr"/>
        <c:lblOffset val="100"/>
      </c:catAx>
      <c:valAx>
        <c:axId val="15389760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89606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South Northamptonshire</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3.24906959951119</c:v>
                </c:pt>
              </c:numCache>
            </c:numRef>
          </c:val>
        </c:ser>
        <c:axId val="153945216"/>
        <c:axId val="153946752"/>
      </c:barChart>
      <c:catAx>
        <c:axId val="153945216"/>
        <c:scaling>
          <c:orientation val="minMax"/>
        </c:scaling>
        <c:axPos val="b"/>
        <c:numFmt formatCode="General" sourceLinked="1"/>
        <c:tickLblPos val="nextTo"/>
        <c:crossAx val="153946752"/>
        <c:crosses val="autoZero"/>
        <c:auto val="1"/>
        <c:lblAlgn val="ctr"/>
        <c:lblOffset val="100"/>
      </c:catAx>
      <c:valAx>
        <c:axId val="153946752"/>
        <c:scaling>
          <c:orientation val="minMax"/>
        </c:scaling>
        <c:axPos val="l"/>
        <c:majorGridlines/>
        <c:numFmt formatCode="General" sourceLinked="1"/>
        <c:tickLblPos val="nextTo"/>
        <c:txPr>
          <a:bodyPr/>
          <a:lstStyle/>
          <a:p>
            <a:pPr>
              <a:defRPr sz="800"/>
            </a:pPr>
            <a:endParaRPr lang="en-US"/>
          </a:p>
        </c:txPr>
        <c:crossAx val="15394521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South Northamptonshire</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9.7678132910033195</c:v>
                </c:pt>
              </c:numCache>
            </c:numRef>
          </c:val>
        </c:ser>
        <c:axId val="153981696"/>
        <c:axId val="153983232"/>
      </c:barChart>
      <c:catAx>
        <c:axId val="153981696"/>
        <c:scaling>
          <c:orientation val="minMax"/>
        </c:scaling>
        <c:axPos val="b"/>
        <c:numFmt formatCode="General" sourceLinked="1"/>
        <c:tickLblPos val="nextTo"/>
        <c:crossAx val="153983232"/>
        <c:crosses val="autoZero"/>
        <c:auto val="1"/>
        <c:lblAlgn val="ctr"/>
        <c:lblOffset val="100"/>
      </c:catAx>
      <c:valAx>
        <c:axId val="15398323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98169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South Northamptonshire</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9.9986946620007799</c:v>
                </c:pt>
              </c:numCache>
            </c:numRef>
          </c:val>
        </c:ser>
        <c:axId val="154039424"/>
        <c:axId val="154040960"/>
      </c:barChart>
      <c:catAx>
        <c:axId val="154039424"/>
        <c:scaling>
          <c:orientation val="minMax"/>
        </c:scaling>
        <c:axPos val="b"/>
        <c:numFmt formatCode="General" sourceLinked="1"/>
        <c:tickLblPos val="nextTo"/>
        <c:crossAx val="154040960"/>
        <c:crosses val="autoZero"/>
        <c:auto val="1"/>
        <c:lblAlgn val="ctr"/>
        <c:lblOffset val="100"/>
      </c:catAx>
      <c:valAx>
        <c:axId val="154040960"/>
        <c:scaling>
          <c:orientation val="minMax"/>
        </c:scaling>
        <c:axPos val="l"/>
        <c:majorGridlines/>
        <c:numFmt formatCode="General" sourceLinked="1"/>
        <c:tickLblPos val="nextTo"/>
        <c:txPr>
          <a:bodyPr/>
          <a:lstStyle/>
          <a:p>
            <a:pPr>
              <a:defRPr sz="800"/>
            </a:pPr>
            <a:endParaRPr lang="en-US"/>
          </a:p>
        </c:txPr>
        <c:crossAx val="15403942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South Northamptonshire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18.139317725525601</c:v>
                </c:pt>
                <c:pt idx="1">
                  <c:v>18.164860285367599</c:v>
                </c:pt>
                <c:pt idx="2">
                  <c:v>18.3115323372046</c:v>
                </c:pt>
              </c:numCache>
            </c:numRef>
          </c:val>
        </c:ser>
        <c:marker val="1"/>
        <c:axId val="154055808"/>
        <c:axId val="154057344"/>
      </c:lineChart>
      <c:catAx>
        <c:axId val="154055808"/>
        <c:scaling>
          <c:orientation val="minMax"/>
        </c:scaling>
        <c:axPos val="b"/>
        <c:numFmt formatCode="General" sourceLinked="1"/>
        <c:tickLblPos val="nextTo"/>
        <c:crossAx val="154057344"/>
        <c:crosses val="autoZero"/>
        <c:auto val="1"/>
        <c:lblAlgn val="ctr"/>
        <c:lblOffset val="100"/>
      </c:catAx>
      <c:valAx>
        <c:axId val="15405734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54055808"/>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South Northamptonshire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6.2429795688402558</c:v>
                </c:pt>
                <c:pt idx="1">
                  <c:v>6.3648003110592661</c:v>
                </c:pt>
                <c:pt idx="2">
                  <c:v>6.3327070000000001</c:v>
                </c:pt>
              </c:numCache>
            </c:numRef>
          </c:val>
        </c:ser>
        <c:axId val="154179072"/>
        <c:axId val="154180608"/>
      </c:barChart>
      <c:catAx>
        <c:axId val="154179072"/>
        <c:scaling>
          <c:orientation val="minMax"/>
        </c:scaling>
        <c:axPos val="b"/>
        <c:numFmt formatCode="General" sourceLinked="1"/>
        <c:tickLblPos val="nextTo"/>
        <c:crossAx val="154180608"/>
        <c:crosses val="autoZero"/>
        <c:auto val="1"/>
        <c:lblAlgn val="ctr"/>
        <c:lblOffset val="100"/>
      </c:catAx>
      <c:valAx>
        <c:axId val="154180608"/>
        <c:scaling>
          <c:orientation val="minMax"/>
        </c:scaling>
        <c:axPos val="l"/>
        <c:majorGridlines/>
        <c:numFmt formatCode="General" sourceLinked="1"/>
        <c:tickLblPos val="nextTo"/>
        <c:crossAx val="154179072"/>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South Northamptonshire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13.1190699136798</c:v>
                </c:pt>
                <c:pt idx="1">
                  <c:v>13.196499394048214</c:v>
                </c:pt>
                <c:pt idx="2">
                  <c:v>13.202831939722307</c:v>
                </c:pt>
              </c:numCache>
            </c:numRef>
          </c:val>
        </c:ser>
        <c:marker val="1"/>
        <c:axId val="154232320"/>
        <c:axId val="154233856"/>
      </c:lineChart>
      <c:catAx>
        <c:axId val="154232320"/>
        <c:scaling>
          <c:orientation val="minMax"/>
        </c:scaling>
        <c:axPos val="b"/>
        <c:numFmt formatCode="General" sourceLinked="1"/>
        <c:tickLblPos val="nextTo"/>
        <c:crossAx val="154233856"/>
        <c:crosses val="autoZero"/>
        <c:auto val="1"/>
        <c:lblAlgn val="ctr"/>
        <c:lblOffset val="100"/>
      </c:catAx>
      <c:valAx>
        <c:axId val="15423385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54232320"/>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South Northamptonshire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6.5127064614654664</c:v>
                </c:pt>
                <c:pt idx="1">
                  <c:v>6.5874298727989764</c:v>
                </c:pt>
                <c:pt idx="2">
                  <c:v>6.8301210000000001</c:v>
                </c:pt>
              </c:numCache>
            </c:numRef>
          </c:val>
        </c:ser>
        <c:axId val="154269568"/>
        <c:axId val="154271104"/>
      </c:barChart>
      <c:catAx>
        <c:axId val="154269568"/>
        <c:scaling>
          <c:orientation val="minMax"/>
        </c:scaling>
        <c:axPos val="b"/>
        <c:numFmt formatCode="General" sourceLinked="1"/>
        <c:tickLblPos val="nextTo"/>
        <c:crossAx val="154271104"/>
        <c:crosses val="autoZero"/>
        <c:auto val="1"/>
        <c:lblAlgn val="ctr"/>
        <c:lblOffset val="100"/>
      </c:catAx>
      <c:valAx>
        <c:axId val="154271104"/>
        <c:scaling>
          <c:orientation val="minMax"/>
        </c:scaling>
        <c:axPos val="l"/>
        <c:majorGridlines/>
        <c:numFmt formatCode="General" sourceLinked="1"/>
        <c:tickLblPos val="nextTo"/>
        <c:crossAx val="154269568"/>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South Northamptonshire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8.4994334876807827</c:v>
                </c:pt>
                <c:pt idx="1">
                  <c:v>8.656769154809469</c:v>
                </c:pt>
                <c:pt idx="2">
                  <c:v>8.6862744147679471</c:v>
                </c:pt>
              </c:numCache>
            </c:numRef>
          </c:val>
        </c:ser>
        <c:marker val="1"/>
        <c:axId val="154306432"/>
        <c:axId val="154307968"/>
      </c:lineChart>
      <c:catAx>
        <c:axId val="154306432"/>
        <c:scaling>
          <c:orientation val="minMax"/>
        </c:scaling>
        <c:axPos val="b"/>
        <c:numFmt formatCode="General" sourceLinked="1"/>
        <c:tickLblPos val="nextTo"/>
        <c:crossAx val="154307968"/>
        <c:crosses val="autoZero"/>
        <c:auto val="1"/>
        <c:lblAlgn val="ctr"/>
        <c:lblOffset val="100"/>
      </c:catAx>
      <c:valAx>
        <c:axId val="15430796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54306432"/>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South Northamptonshire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9.8332295466002471</c:v>
                </c:pt>
                <c:pt idx="1">
                  <c:v>10</c:v>
                </c:pt>
                <c:pt idx="2">
                  <c:v>10</c:v>
                </c:pt>
              </c:numCache>
            </c:numRef>
          </c:val>
        </c:ser>
        <c:axId val="154429696"/>
        <c:axId val="154443776"/>
      </c:barChart>
      <c:catAx>
        <c:axId val="154429696"/>
        <c:scaling>
          <c:orientation val="minMax"/>
        </c:scaling>
        <c:axPos val="b"/>
        <c:numFmt formatCode="General" sourceLinked="1"/>
        <c:tickLblPos val="nextTo"/>
        <c:crossAx val="154443776"/>
        <c:crosses val="autoZero"/>
        <c:auto val="1"/>
        <c:lblAlgn val="ctr"/>
        <c:lblOffset val="100"/>
      </c:catAx>
      <c:valAx>
        <c:axId val="154443776"/>
        <c:scaling>
          <c:orientation val="minMax"/>
        </c:scaling>
        <c:axPos val="l"/>
        <c:majorGridlines/>
        <c:numFmt formatCode="General" sourceLinked="1"/>
        <c:tickLblPos val="nextTo"/>
        <c:crossAx val="154429696"/>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South Northamptonshire</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14.849127538888506</c:v>
                </c:pt>
                <c:pt idx="1">
                  <c:v>14.7750886485031</c:v>
                </c:pt>
                <c:pt idx="2">
                  <c:v>15.360121197335401</c:v>
                </c:pt>
              </c:numCache>
            </c:numRef>
          </c:val>
        </c:ser>
        <c:marker val="1"/>
        <c:axId val="152241280"/>
        <c:axId val="152242816"/>
      </c:lineChart>
      <c:catAx>
        <c:axId val="152241280"/>
        <c:scaling>
          <c:orientation val="minMax"/>
        </c:scaling>
        <c:axPos val="b"/>
        <c:numFmt formatCode="General" sourceLinked="1"/>
        <c:tickLblPos val="nextTo"/>
        <c:crossAx val="152242816"/>
        <c:crosses val="autoZero"/>
        <c:auto val="1"/>
        <c:lblAlgn val="ctr"/>
        <c:lblOffset val="100"/>
      </c:catAx>
      <c:valAx>
        <c:axId val="152242816"/>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241280"/>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South Northamptonshire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37.9696115124678</c:v>
                </c:pt>
                <c:pt idx="1">
                  <c:v>38.442915588504029</c:v>
                </c:pt>
                <c:pt idx="2">
                  <c:v>38.704400467343632</c:v>
                </c:pt>
              </c:numCache>
            </c:numRef>
          </c:val>
        </c:ser>
        <c:marker val="1"/>
        <c:axId val="154466560"/>
        <c:axId val="154345472"/>
      </c:lineChart>
      <c:catAx>
        <c:axId val="154466560"/>
        <c:scaling>
          <c:orientation val="minMax"/>
        </c:scaling>
        <c:axPos val="b"/>
        <c:numFmt formatCode="General" sourceLinked="1"/>
        <c:tickLblPos val="nextTo"/>
        <c:crossAx val="154345472"/>
        <c:crosses val="autoZero"/>
        <c:auto val="1"/>
        <c:lblAlgn val="ctr"/>
        <c:lblOffset val="100"/>
      </c:catAx>
      <c:valAx>
        <c:axId val="15434547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466560"/>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South Northamptonshire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0.485010230406547</c:v>
                </c:pt>
                <c:pt idx="1">
                  <c:v>0.46086763317224938</c:v>
                </c:pt>
                <c:pt idx="2">
                  <c:v>0.64639200000000041</c:v>
                </c:pt>
              </c:numCache>
            </c:numRef>
          </c:val>
        </c:ser>
        <c:axId val="154393216"/>
        <c:axId val="154403200"/>
      </c:barChart>
      <c:catAx>
        <c:axId val="154393216"/>
        <c:scaling>
          <c:orientation val="minMax"/>
        </c:scaling>
        <c:axPos val="b"/>
        <c:numFmt formatCode="General" sourceLinked="1"/>
        <c:tickLblPos val="nextTo"/>
        <c:crossAx val="154403200"/>
        <c:crosses val="autoZero"/>
        <c:auto val="1"/>
        <c:lblAlgn val="ctr"/>
        <c:lblOffset val="100"/>
      </c:catAx>
      <c:valAx>
        <c:axId val="154403200"/>
        <c:scaling>
          <c:orientation val="minMax"/>
        </c:scaling>
        <c:axPos val="l"/>
        <c:majorGridlines/>
        <c:numFmt formatCode="General" sourceLinked="1"/>
        <c:tickLblPos val="nextTo"/>
        <c:txPr>
          <a:bodyPr/>
          <a:lstStyle/>
          <a:p>
            <a:pPr>
              <a:defRPr sz="800"/>
            </a:pPr>
            <a:endParaRPr lang="en-US"/>
          </a:p>
        </c:txPr>
        <c:crossAx val="154393216"/>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South Northamptonshire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34.842363916995403</c:v>
                </c:pt>
                <c:pt idx="1">
                  <c:v>34.658429799362544</c:v>
                </c:pt>
                <c:pt idx="2">
                  <c:v>34.713686939244468</c:v>
                </c:pt>
              </c:numCache>
            </c:numRef>
          </c:val>
        </c:ser>
        <c:marker val="1"/>
        <c:axId val="154491520"/>
        <c:axId val="154505600"/>
      </c:lineChart>
      <c:catAx>
        <c:axId val="154491520"/>
        <c:scaling>
          <c:orientation val="minMax"/>
        </c:scaling>
        <c:axPos val="b"/>
        <c:numFmt formatCode="General" sourceLinked="1"/>
        <c:tickLblPos val="nextTo"/>
        <c:crossAx val="154505600"/>
        <c:crosses val="autoZero"/>
        <c:auto val="1"/>
        <c:lblAlgn val="ctr"/>
        <c:lblOffset val="100"/>
      </c:catAx>
      <c:valAx>
        <c:axId val="15450560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491520"/>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South Northamptonshire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0.48453577676956422</c:v>
                </c:pt>
                <c:pt idx="1">
                  <c:v>0.48614119868910699</c:v>
                </c:pt>
                <c:pt idx="2">
                  <c:v>0.47839200000000021</c:v>
                </c:pt>
              </c:numCache>
            </c:numRef>
          </c:val>
        </c:ser>
        <c:axId val="154532864"/>
        <c:axId val="154542848"/>
      </c:barChart>
      <c:catAx>
        <c:axId val="154532864"/>
        <c:scaling>
          <c:orientation val="minMax"/>
        </c:scaling>
        <c:axPos val="b"/>
        <c:numFmt formatCode="General" sourceLinked="1"/>
        <c:tickLblPos val="nextTo"/>
        <c:crossAx val="154542848"/>
        <c:crosses val="autoZero"/>
        <c:auto val="1"/>
        <c:lblAlgn val="ctr"/>
        <c:lblOffset val="100"/>
      </c:catAx>
      <c:valAx>
        <c:axId val="154542848"/>
        <c:scaling>
          <c:orientation val="minMax"/>
        </c:scaling>
        <c:axPos val="l"/>
        <c:majorGridlines/>
        <c:numFmt formatCode="General" sourceLinked="1"/>
        <c:tickLblPos val="nextTo"/>
        <c:txPr>
          <a:bodyPr/>
          <a:lstStyle/>
          <a:p>
            <a:pPr>
              <a:defRPr sz="800"/>
            </a:pPr>
            <a:endParaRPr lang="en-US"/>
          </a:p>
        </c:txPr>
        <c:crossAx val="154532864"/>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South Northamptonshire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15.917734865374706</c:v>
                </c:pt>
                <c:pt idx="1">
                  <c:v>16.466627814283971</c:v>
                </c:pt>
                <c:pt idx="2">
                  <c:v>16.548004766325789</c:v>
                </c:pt>
              </c:numCache>
            </c:numRef>
          </c:val>
        </c:ser>
        <c:marker val="1"/>
        <c:axId val="154569728"/>
        <c:axId val="154583808"/>
      </c:lineChart>
      <c:catAx>
        <c:axId val="154569728"/>
        <c:scaling>
          <c:orientation val="minMax"/>
        </c:scaling>
        <c:axPos val="b"/>
        <c:numFmt formatCode="General" sourceLinked="1"/>
        <c:tickLblPos val="nextTo"/>
        <c:crossAx val="154583808"/>
        <c:crosses val="autoZero"/>
        <c:auto val="1"/>
        <c:lblAlgn val="ctr"/>
        <c:lblOffset val="100"/>
      </c:catAx>
      <c:valAx>
        <c:axId val="15458380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569728"/>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South Northamptonshire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7.3599027370044201</c:v>
                </c:pt>
                <c:pt idx="1">
                  <c:v>5.7814530911514739</c:v>
                </c:pt>
                <c:pt idx="2">
                  <c:v>6.6032989999999998</c:v>
                </c:pt>
              </c:numCache>
            </c:numRef>
          </c:val>
        </c:ser>
        <c:axId val="154623360"/>
        <c:axId val="154629248"/>
      </c:barChart>
      <c:catAx>
        <c:axId val="154623360"/>
        <c:scaling>
          <c:orientation val="minMax"/>
        </c:scaling>
        <c:axPos val="b"/>
        <c:numFmt formatCode="General" sourceLinked="1"/>
        <c:tickLblPos val="nextTo"/>
        <c:crossAx val="154629248"/>
        <c:crosses val="autoZero"/>
        <c:auto val="1"/>
        <c:lblAlgn val="ctr"/>
        <c:lblOffset val="100"/>
      </c:catAx>
      <c:valAx>
        <c:axId val="154629248"/>
        <c:scaling>
          <c:orientation val="minMax"/>
        </c:scaling>
        <c:axPos val="l"/>
        <c:majorGridlines/>
        <c:numFmt formatCode="General" sourceLinked="1"/>
        <c:tickLblPos val="nextTo"/>
        <c:txPr>
          <a:bodyPr/>
          <a:lstStyle/>
          <a:p>
            <a:pPr>
              <a:defRPr sz="800"/>
            </a:pPr>
            <a:endParaRPr lang="en-US"/>
          </a:p>
        </c:txPr>
        <c:crossAx val="154623360"/>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Northamptonshire</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5104</c:v>
                </c:pt>
                <c:pt idx="1">
                  <c:v>5138</c:v>
                </c:pt>
                <c:pt idx="2">
                  <c:v>5253</c:v>
                </c:pt>
                <c:pt idx="3">
                  <c:v>5369</c:v>
                </c:pt>
                <c:pt idx="4">
                  <c:v>5468</c:v>
                </c:pt>
              </c:numCache>
            </c:numRef>
          </c:val>
        </c:ser>
        <c:marker val="1"/>
        <c:axId val="154666112"/>
        <c:axId val="154667648"/>
      </c:lineChart>
      <c:catAx>
        <c:axId val="154666112"/>
        <c:scaling>
          <c:orientation val="minMax"/>
        </c:scaling>
        <c:axPos val="b"/>
        <c:numFmt formatCode="General" sourceLinked="1"/>
        <c:tickLblPos val="nextTo"/>
        <c:crossAx val="154667648"/>
        <c:crosses val="autoZero"/>
        <c:auto val="1"/>
        <c:lblAlgn val="ctr"/>
        <c:lblOffset val="100"/>
      </c:catAx>
      <c:valAx>
        <c:axId val="154667648"/>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666112"/>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Northamptonshire</c:v>
                </c:pt>
              </c:strCache>
            </c:strRef>
          </c:tx>
          <c:spPr>
            <a:solidFill>
              <a:schemeClr val="tx1"/>
            </a:solidFill>
          </c:spPr>
          <c:val>
            <c:numRef>
              <c:f>Sheet1!$R$180:$V$180</c:f>
              <c:numCache>
                <c:formatCode>General</c:formatCode>
                <c:ptCount val="5"/>
                <c:pt idx="0">
                  <c:v>7287.9823968951805</c:v>
                </c:pt>
                <c:pt idx="1">
                  <c:v>7281.1784795686308</c:v>
                </c:pt>
                <c:pt idx="2">
                  <c:v>7363.8363162033838</c:v>
                </c:pt>
                <c:pt idx="3">
                  <c:v>7434.5684585421377</c:v>
                </c:pt>
                <c:pt idx="4">
                  <c:v>7465.3356124360371</c:v>
                </c:pt>
              </c:numCache>
            </c:numRef>
          </c:val>
        </c:ser>
        <c:axId val="154695552"/>
        <c:axId val="154697088"/>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54695552"/>
        <c:axId val="154697088"/>
      </c:lineChart>
      <c:catAx>
        <c:axId val="154695552"/>
        <c:scaling>
          <c:orientation val="minMax"/>
        </c:scaling>
        <c:axPos val="b"/>
        <c:tickLblPos val="nextTo"/>
        <c:crossAx val="154697088"/>
        <c:crosses val="autoZero"/>
        <c:auto val="1"/>
        <c:lblAlgn val="ctr"/>
        <c:lblOffset val="100"/>
      </c:catAx>
      <c:valAx>
        <c:axId val="154697088"/>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69555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Northamptonshire</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3937</c:v>
                </c:pt>
                <c:pt idx="1">
                  <c:v>3944</c:v>
                </c:pt>
                <c:pt idx="2">
                  <c:v>4012</c:v>
                </c:pt>
                <c:pt idx="3">
                  <c:v>4076</c:v>
                </c:pt>
                <c:pt idx="4">
                  <c:v>4132</c:v>
                </c:pt>
              </c:numCache>
            </c:numRef>
          </c:val>
        </c:ser>
        <c:marker val="1"/>
        <c:axId val="154808320"/>
        <c:axId val="154809856"/>
      </c:lineChart>
      <c:catAx>
        <c:axId val="154808320"/>
        <c:scaling>
          <c:orientation val="minMax"/>
        </c:scaling>
        <c:axPos val="b"/>
        <c:numFmt formatCode="General" sourceLinked="1"/>
        <c:tickLblPos val="nextTo"/>
        <c:crossAx val="154809856"/>
        <c:crosses val="autoZero"/>
        <c:auto val="1"/>
        <c:lblAlgn val="ctr"/>
        <c:lblOffset val="100"/>
      </c:catAx>
      <c:valAx>
        <c:axId val="154809856"/>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808320"/>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Northamptonshire</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5621.6274875737354</c:v>
                </c:pt>
                <c:pt idx="1">
                  <c:v>5589.1335000814843</c:v>
                </c:pt>
                <c:pt idx="2">
                  <c:v>5624.1597754821987</c:v>
                </c:pt>
                <c:pt idx="3">
                  <c:v>5644.1238660863792</c:v>
                </c:pt>
                <c:pt idx="4">
                  <c:v>5641.3253018627865</c:v>
                </c:pt>
              </c:numCache>
            </c:numRef>
          </c:val>
        </c:ser>
        <c:axId val="154854144"/>
        <c:axId val="154855680"/>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54854144"/>
        <c:axId val="154855680"/>
      </c:lineChart>
      <c:catAx>
        <c:axId val="154854144"/>
        <c:scaling>
          <c:orientation val="minMax"/>
        </c:scaling>
        <c:axPos val="b"/>
        <c:numFmt formatCode="General" sourceLinked="1"/>
        <c:tickLblPos val="nextTo"/>
        <c:crossAx val="154855680"/>
        <c:crosses val="autoZero"/>
        <c:auto val="1"/>
        <c:lblAlgn val="ctr"/>
        <c:lblOffset val="100"/>
      </c:catAx>
      <c:valAx>
        <c:axId val="154855680"/>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85414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South Northamptonshire</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9.7921627210465267</c:v>
                </c:pt>
                <c:pt idx="1">
                  <c:v>9.8996663898738717</c:v>
                </c:pt>
                <c:pt idx="2">
                  <c:v>10.080150481999498</c:v>
                </c:pt>
              </c:numCache>
            </c:numRef>
          </c:val>
        </c:ser>
        <c:marker val="1"/>
        <c:axId val="152282624"/>
        <c:axId val="152284160"/>
      </c:lineChart>
      <c:catAx>
        <c:axId val="152282624"/>
        <c:scaling>
          <c:orientation val="minMax"/>
        </c:scaling>
        <c:axPos val="b"/>
        <c:numFmt formatCode="General" sourceLinked="1"/>
        <c:tickLblPos val="nextTo"/>
        <c:crossAx val="152284160"/>
        <c:crosses val="autoZero"/>
        <c:auto val="1"/>
        <c:lblAlgn val="ctr"/>
        <c:lblOffset val="100"/>
      </c:catAx>
      <c:valAx>
        <c:axId val="152284160"/>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282624"/>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Northamptonshire</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2715</c:v>
                </c:pt>
                <c:pt idx="1">
                  <c:v>2737</c:v>
                </c:pt>
                <c:pt idx="2">
                  <c:v>2832</c:v>
                </c:pt>
                <c:pt idx="3">
                  <c:v>2908</c:v>
                </c:pt>
                <c:pt idx="4">
                  <c:v>2993</c:v>
                </c:pt>
              </c:numCache>
            </c:numRef>
          </c:val>
        </c:ser>
        <c:marker val="1"/>
        <c:axId val="154757760"/>
        <c:axId val="154763648"/>
      </c:lineChart>
      <c:catAx>
        <c:axId val="154757760"/>
        <c:scaling>
          <c:orientation val="minMax"/>
        </c:scaling>
        <c:axPos val="b"/>
        <c:numFmt formatCode="General" sourceLinked="1"/>
        <c:tickLblPos val="nextTo"/>
        <c:crossAx val="154763648"/>
        <c:crosses val="autoZero"/>
        <c:auto val="1"/>
        <c:lblAlgn val="ctr"/>
        <c:lblOffset val="100"/>
      </c:catAx>
      <c:valAx>
        <c:axId val="154763648"/>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757760"/>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Northamptonshire</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3876.7382851822904</c:v>
                </c:pt>
                <c:pt idx="1">
                  <c:v>3878.665920315168</c:v>
                </c:pt>
                <c:pt idx="2">
                  <c:v>3969.9951356344941</c:v>
                </c:pt>
                <c:pt idx="3">
                  <c:v>4026.7694314472956</c:v>
                </c:pt>
                <c:pt idx="4">
                  <c:v>4086.2745954683705</c:v>
                </c:pt>
              </c:numCache>
            </c:numRef>
          </c:val>
        </c:ser>
        <c:axId val="154934656"/>
        <c:axId val="154952832"/>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54934656"/>
        <c:axId val="154952832"/>
      </c:lineChart>
      <c:catAx>
        <c:axId val="154934656"/>
        <c:scaling>
          <c:orientation val="minMax"/>
        </c:scaling>
        <c:axPos val="b"/>
        <c:numFmt formatCode="General" sourceLinked="1"/>
        <c:tickLblPos val="nextTo"/>
        <c:crossAx val="154952832"/>
        <c:crosses val="autoZero"/>
        <c:auto val="1"/>
        <c:lblAlgn val="ctr"/>
        <c:lblOffset val="100"/>
      </c:catAx>
      <c:valAx>
        <c:axId val="154952832"/>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93465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Northamptonshire</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4955</c:v>
                </c:pt>
                <c:pt idx="1">
                  <c:v>4988</c:v>
                </c:pt>
                <c:pt idx="2">
                  <c:v>5089</c:v>
                </c:pt>
                <c:pt idx="3">
                  <c:v>5180</c:v>
                </c:pt>
                <c:pt idx="4">
                  <c:v>5212</c:v>
                </c:pt>
              </c:numCache>
            </c:numRef>
          </c:val>
        </c:ser>
        <c:marker val="1"/>
        <c:axId val="154976256"/>
        <c:axId val="154977792"/>
      </c:lineChart>
      <c:catAx>
        <c:axId val="154976256"/>
        <c:scaling>
          <c:orientation val="minMax"/>
        </c:scaling>
        <c:axPos val="b"/>
        <c:numFmt formatCode="General" sourceLinked="1"/>
        <c:tickLblPos val="nextTo"/>
        <c:crossAx val="154977792"/>
        <c:crosses val="autoZero"/>
        <c:auto val="1"/>
        <c:lblAlgn val="ctr"/>
        <c:lblOffset val="100"/>
      </c:catAx>
      <c:valAx>
        <c:axId val="154977792"/>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976256"/>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Northamptonshire</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3</c:v>
                </c:pt>
                <c:pt idx="1">
                  <c:v>3</c:v>
                </c:pt>
                <c:pt idx="2">
                  <c:v>3</c:v>
                </c:pt>
                <c:pt idx="3">
                  <c:v>3</c:v>
                </c:pt>
                <c:pt idx="4">
                  <c:v>3</c:v>
                </c:pt>
              </c:numCache>
            </c:numRef>
          </c:val>
        </c:ser>
        <c:axId val="155042560"/>
        <c:axId val="155044096"/>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55042560"/>
        <c:axId val="155044096"/>
      </c:lineChart>
      <c:catAx>
        <c:axId val="155042560"/>
        <c:scaling>
          <c:orientation val="minMax"/>
        </c:scaling>
        <c:axPos val="b"/>
        <c:tickLblPos val="nextTo"/>
        <c:crossAx val="155044096"/>
        <c:crosses val="autoZero"/>
        <c:auto val="1"/>
        <c:lblAlgn val="ctr"/>
        <c:lblOffset val="100"/>
      </c:catAx>
      <c:valAx>
        <c:axId val="155044096"/>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504256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Northamptonshire</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7</c:v>
                </c:pt>
                <c:pt idx="1">
                  <c:v>7</c:v>
                </c:pt>
                <c:pt idx="2">
                  <c:v>7</c:v>
                </c:pt>
                <c:pt idx="3">
                  <c:v>6</c:v>
                </c:pt>
                <c:pt idx="4">
                  <c:v>6</c:v>
                </c:pt>
              </c:numCache>
            </c:numRef>
          </c:val>
        </c:ser>
        <c:axId val="155092480"/>
        <c:axId val="155094016"/>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55092480"/>
        <c:axId val="155094016"/>
      </c:lineChart>
      <c:catAx>
        <c:axId val="155092480"/>
        <c:scaling>
          <c:orientation val="minMax"/>
        </c:scaling>
        <c:axPos val="b"/>
        <c:tickLblPos val="nextTo"/>
        <c:crossAx val="155094016"/>
        <c:crosses val="autoZero"/>
        <c:auto val="1"/>
        <c:lblAlgn val="ctr"/>
        <c:lblOffset val="100"/>
      </c:catAx>
      <c:valAx>
        <c:axId val="155094016"/>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509248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Northamptonshire</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32</c:v>
                </c:pt>
                <c:pt idx="1">
                  <c:v>0</c:v>
                </c:pt>
                <c:pt idx="2">
                  <c:v>21</c:v>
                </c:pt>
                <c:pt idx="3">
                  <c:v>0</c:v>
                </c:pt>
                <c:pt idx="4">
                  <c:v>25</c:v>
                </c:pt>
              </c:numCache>
            </c:numRef>
          </c:val>
        </c:ser>
        <c:axId val="155196416"/>
        <c:axId val="155202304"/>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55196416"/>
        <c:axId val="155202304"/>
      </c:lineChart>
      <c:catAx>
        <c:axId val="155196416"/>
        <c:scaling>
          <c:orientation val="minMax"/>
        </c:scaling>
        <c:axPos val="b"/>
        <c:tickLblPos val="nextTo"/>
        <c:crossAx val="155202304"/>
        <c:crosses val="autoZero"/>
        <c:auto val="1"/>
        <c:lblAlgn val="ctr"/>
        <c:lblOffset val="100"/>
      </c:catAx>
      <c:valAx>
        <c:axId val="15520230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519641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Northamptonshire</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31.5</c:v>
                </c:pt>
                <c:pt idx="1">
                  <c:v>31.1</c:v>
                </c:pt>
                <c:pt idx="2">
                  <c:v>30.9</c:v>
                </c:pt>
              </c:numCache>
            </c:numRef>
          </c:val>
        </c:ser>
        <c:marker val="1"/>
        <c:axId val="155253760"/>
        <c:axId val="155132672"/>
      </c:lineChart>
      <c:catAx>
        <c:axId val="155253760"/>
        <c:scaling>
          <c:orientation val="minMax"/>
        </c:scaling>
        <c:axPos val="b"/>
        <c:numFmt formatCode="General" sourceLinked="1"/>
        <c:tickLblPos val="nextTo"/>
        <c:crossAx val="155132672"/>
        <c:crosses val="autoZero"/>
        <c:auto val="1"/>
        <c:lblAlgn val="ctr"/>
        <c:lblOffset val="100"/>
      </c:catAx>
      <c:valAx>
        <c:axId val="155132672"/>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253760"/>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Northamptonshire</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27.9</c:v>
                </c:pt>
                <c:pt idx="1">
                  <c:v>29.1</c:v>
                </c:pt>
                <c:pt idx="2">
                  <c:v>30.2</c:v>
                </c:pt>
              </c:numCache>
            </c:numRef>
          </c:val>
        </c:ser>
        <c:marker val="1"/>
        <c:axId val="155156864"/>
        <c:axId val="155158400"/>
      </c:lineChart>
      <c:catAx>
        <c:axId val="155156864"/>
        <c:scaling>
          <c:orientation val="minMax"/>
        </c:scaling>
        <c:axPos val="b"/>
        <c:numFmt formatCode="General" sourceLinked="1"/>
        <c:tickLblPos val="nextTo"/>
        <c:crossAx val="155158400"/>
        <c:crosses val="autoZero"/>
        <c:auto val="1"/>
        <c:lblAlgn val="ctr"/>
        <c:lblOffset val="100"/>
      </c:catAx>
      <c:valAx>
        <c:axId val="155158400"/>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55156864"/>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South Northamptonshire</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79.640256450667167</c:v>
                </c:pt>
                <c:pt idx="1">
                  <c:v>71.22598872185489</c:v>
                </c:pt>
                <c:pt idx="2">
                  <c:v>45.34522826019095</c:v>
                </c:pt>
                <c:pt idx="3">
                  <c:v>31.73349450813442</c:v>
                </c:pt>
              </c:numCache>
            </c:numRef>
          </c:val>
        </c:ser>
        <c:axId val="155341568"/>
        <c:axId val="155343104"/>
      </c:barChart>
      <c:catAx>
        <c:axId val="155341568"/>
        <c:scaling>
          <c:orientation val="minMax"/>
        </c:scaling>
        <c:axPos val="b"/>
        <c:tickLblPos val="nextTo"/>
        <c:txPr>
          <a:bodyPr/>
          <a:lstStyle/>
          <a:p>
            <a:pPr>
              <a:defRPr sz="800"/>
            </a:pPr>
            <a:endParaRPr lang="en-US"/>
          </a:p>
        </c:txPr>
        <c:crossAx val="155343104"/>
        <c:crosses val="autoZero"/>
        <c:auto val="1"/>
        <c:lblAlgn val="ctr"/>
        <c:lblOffset val="100"/>
      </c:catAx>
      <c:valAx>
        <c:axId val="155343104"/>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5341568"/>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South Northamptonshire</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15.869509744098604</c:v>
                </c:pt>
                <c:pt idx="1">
                  <c:v>9.7550069787251719</c:v>
                </c:pt>
                <c:pt idx="2">
                  <c:v>2.4648737833841512</c:v>
                </c:pt>
                <c:pt idx="3">
                  <c:v>1.2140299498086666</c:v>
                </c:pt>
              </c:numCache>
            </c:numRef>
          </c:val>
        </c:ser>
        <c:axId val="155382912"/>
        <c:axId val="155384448"/>
      </c:barChart>
      <c:catAx>
        <c:axId val="155382912"/>
        <c:scaling>
          <c:orientation val="minMax"/>
        </c:scaling>
        <c:axPos val="b"/>
        <c:numFmt formatCode="General" sourceLinked="1"/>
        <c:tickLblPos val="nextTo"/>
        <c:txPr>
          <a:bodyPr/>
          <a:lstStyle/>
          <a:p>
            <a:pPr>
              <a:defRPr sz="800"/>
            </a:pPr>
            <a:endParaRPr lang="en-US"/>
          </a:p>
        </c:txPr>
        <c:crossAx val="155384448"/>
        <c:crosses val="autoZero"/>
        <c:auto val="1"/>
        <c:lblAlgn val="ctr"/>
        <c:lblOffset val="100"/>
      </c:catAx>
      <c:valAx>
        <c:axId val="15538444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5382912"/>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South Northamptonshire</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50.740511111187303</c:v>
                </c:pt>
                <c:pt idx="1">
                  <c:v>50.63135658330765</c:v>
                </c:pt>
                <c:pt idx="2">
                  <c:v>50.645375067212051</c:v>
                </c:pt>
              </c:numCache>
            </c:numRef>
          </c:val>
        </c:ser>
        <c:marker val="1"/>
        <c:axId val="152385408"/>
        <c:axId val="152386944"/>
      </c:lineChart>
      <c:catAx>
        <c:axId val="152385408"/>
        <c:scaling>
          <c:orientation val="minMax"/>
        </c:scaling>
        <c:axPos val="b"/>
        <c:numFmt formatCode="General" sourceLinked="1"/>
        <c:tickLblPos val="nextTo"/>
        <c:crossAx val="152386944"/>
        <c:crosses val="autoZero"/>
        <c:auto val="1"/>
        <c:lblAlgn val="ctr"/>
        <c:lblOffset val="100"/>
      </c:catAx>
      <c:valAx>
        <c:axId val="152386944"/>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385408"/>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South Northamptonshire</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14.801401853899259</c:v>
                </c:pt>
                <c:pt idx="1">
                  <c:v>8.6975136408791336</c:v>
                </c:pt>
                <c:pt idx="2">
                  <c:v>0.87851161184445825</c:v>
                </c:pt>
                <c:pt idx="3">
                  <c:v>6.8949483304259221E-2</c:v>
                </c:pt>
              </c:numCache>
            </c:numRef>
          </c:val>
        </c:ser>
        <c:axId val="155301376"/>
        <c:axId val="155302912"/>
      </c:barChart>
      <c:catAx>
        <c:axId val="155301376"/>
        <c:scaling>
          <c:orientation val="minMax"/>
        </c:scaling>
        <c:axPos val="b"/>
        <c:numFmt formatCode="General" sourceLinked="1"/>
        <c:tickLblPos val="nextTo"/>
        <c:txPr>
          <a:bodyPr/>
          <a:lstStyle/>
          <a:p>
            <a:pPr>
              <a:defRPr sz="800"/>
            </a:pPr>
            <a:endParaRPr lang="en-US"/>
          </a:p>
        </c:txPr>
        <c:crossAx val="155302912"/>
        <c:crosses val="autoZero"/>
        <c:auto val="1"/>
        <c:lblAlgn val="ctr"/>
        <c:lblOffset val="100"/>
      </c:catAx>
      <c:valAx>
        <c:axId val="15530291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5301376"/>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South Northamptonshire</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3.7691819324782099</c:v>
                </c:pt>
                <c:pt idx="1">
                  <c:v>2.5482982257938311</c:v>
                </c:pt>
                <c:pt idx="2">
                  <c:v>1.5091264711132584</c:v>
                </c:pt>
                <c:pt idx="3">
                  <c:v>1.0678447660779731</c:v>
                </c:pt>
              </c:numCache>
            </c:numRef>
          </c:val>
        </c:ser>
        <c:axId val="155412352"/>
        <c:axId val="155413888"/>
      </c:barChart>
      <c:catAx>
        <c:axId val="155412352"/>
        <c:scaling>
          <c:orientation val="minMax"/>
        </c:scaling>
        <c:axPos val="b"/>
        <c:numFmt formatCode="General" sourceLinked="1"/>
        <c:tickLblPos val="nextTo"/>
        <c:txPr>
          <a:bodyPr/>
          <a:lstStyle/>
          <a:p>
            <a:pPr>
              <a:defRPr sz="800"/>
            </a:pPr>
            <a:endParaRPr lang="en-US"/>
          </a:p>
        </c:txPr>
        <c:crossAx val="155413888"/>
        <c:crosses val="autoZero"/>
        <c:auto val="1"/>
        <c:lblAlgn val="ctr"/>
        <c:lblOffset val="100"/>
      </c:catAx>
      <c:valAx>
        <c:axId val="15541388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5412352"/>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South Northamptonshire</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77.405781039301488</c:v>
                </c:pt>
                <c:pt idx="1">
                  <c:v>68.93964340184894</c:v>
                </c:pt>
                <c:pt idx="2">
                  <c:v>42.638915541952791</c:v>
                </c:pt>
                <c:pt idx="3">
                  <c:v>29.898863451333131</c:v>
                </c:pt>
              </c:numCache>
            </c:numRef>
          </c:val>
        </c:ser>
        <c:axId val="155527424"/>
        <c:axId val="155533312"/>
      </c:barChart>
      <c:catAx>
        <c:axId val="155527424"/>
        <c:scaling>
          <c:orientation val="minMax"/>
        </c:scaling>
        <c:axPos val="b"/>
        <c:numFmt formatCode="General" sourceLinked="1"/>
        <c:tickLblPos val="nextTo"/>
        <c:txPr>
          <a:bodyPr/>
          <a:lstStyle/>
          <a:p>
            <a:pPr>
              <a:defRPr sz="800"/>
            </a:pPr>
            <a:endParaRPr lang="en-US"/>
          </a:p>
        </c:txPr>
        <c:crossAx val="155533312"/>
        <c:crosses val="autoZero"/>
        <c:auto val="1"/>
        <c:lblAlgn val="ctr"/>
        <c:lblOffset val="100"/>
      </c:catAx>
      <c:valAx>
        <c:axId val="15553331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5527424"/>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South Northamptonshire</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73.368421436106956</c:v>
                </c:pt>
                <c:pt idx="1">
                  <c:v>56.995960271026732</c:v>
                </c:pt>
                <c:pt idx="2">
                  <c:v>29.509895520271428</c:v>
                </c:pt>
                <c:pt idx="3">
                  <c:v>20.973557306966089</c:v>
                </c:pt>
              </c:numCache>
            </c:numRef>
          </c:val>
        </c:ser>
        <c:axId val="155560576"/>
        <c:axId val="155451776"/>
      </c:barChart>
      <c:catAx>
        <c:axId val="155560576"/>
        <c:scaling>
          <c:orientation val="minMax"/>
        </c:scaling>
        <c:axPos val="b"/>
        <c:numFmt formatCode="General" sourceLinked="1"/>
        <c:tickLblPos val="nextTo"/>
        <c:txPr>
          <a:bodyPr/>
          <a:lstStyle/>
          <a:p>
            <a:pPr>
              <a:defRPr sz="800"/>
            </a:pPr>
            <a:endParaRPr lang="en-US"/>
          </a:p>
        </c:txPr>
        <c:crossAx val="155451776"/>
        <c:crosses val="autoZero"/>
        <c:auto val="1"/>
        <c:lblAlgn val="ctr"/>
        <c:lblOffset val="100"/>
      </c:catAx>
      <c:valAx>
        <c:axId val="15545177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5560576"/>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South Northamptonshire</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35.24486930595134</c:v>
                </c:pt>
                <c:pt idx="1">
                  <c:v>27.764503948962115</c:v>
                </c:pt>
                <c:pt idx="2">
                  <c:v>10.610169457227968</c:v>
                </c:pt>
                <c:pt idx="3">
                  <c:v>6.121854891864742</c:v>
                </c:pt>
              </c:numCache>
            </c:numRef>
          </c:val>
        </c:ser>
        <c:axId val="155515904"/>
        <c:axId val="155587328"/>
      </c:barChart>
      <c:catAx>
        <c:axId val="155515904"/>
        <c:scaling>
          <c:orientation val="minMax"/>
        </c:scaling>
        <c:axPos val="b"/>
        <c:numFmt formatCode="General" sourceLinked="1"/>
        <c:tickLblPos val="nextTo"/>
        <c:txPr>
          <a:bodyPr/>
          <a:lstStyle/>
          <a:p>
            <a:pPr>
              <a:defRPr sz="800"/>
            </a:pPr>
            <a:endParaRPr lang="en-US"/>
          </a:p>
        </c:txPr>
        <c:crossAx val="155587328"/>
        <c:crosses val="autoZero"/>
        <c:auto val="1"/>
        <c:lblAlgn val="ctr"/>
        <c:lblOffset val="100"/>
      </c:catAx>
      <c:valAx>
        <c:axId val="15558732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5515904"/>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South Northamptonshire</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50.887159206539813</c:v>
                </c:pt>
                <c:pt idx="1">
                  <c:v>47.349447653897961</c:v>
                </c:pt>
                <c:pt idx="2">
                  <c:v>48.028783985087301</c:v>
                </c:pt>
              </c:numCache>
            </c:numRef>
          </c:val>
        </c:ser>
        <c:marker val="1"/>
        <c:axId val="152324352"/>
        <c:axId val="152330240"/>
      </c:lineChart>
      <c:catAx>
        <c:axId val="152324352"/>
        <c:scaling>
          <c:orientation val="minMax"/>
        </c:scaling>
        <c:axPos val="b"/>
        <c:numFmt formatCode="General" sourceLinked="1"/>
        <c:tickLblPos val="nextTo"/>
        <c:crossAx val="152330240"/>
        <c:crosses val="autoZero"/>
        <c:auto val="1"/>
        <c:lblAlgn val="ctr"/>
        <c:lblOffset val="100"/>
      </c:catAx>
      <c:valAx>
        <c:axId val="152330240"/>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324352"/>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South Northamptonshire</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20.969434288000869</c:v>
                </c:pt>
                <c:pt idx="1">
                  <c:v>20.408065443294898</c:v>
                </c:pt>
                <c:pt idx="2">
                  <c:v>21.434398851026899</c:v>
                </c:pt>
              </c:numCache>
            </c:numRef>
          </c:val>
        </c:ser>
        <c:marker val="1"/>
        <c:axId val="152357504"/>
        <c:axId val="152437120"/>
      </c:lineChart>
      <c:catAx>
        <c:axId val="152357504"/>
        <c:scaling>
          <c:orientation val="minMax"/>
        </c:scaling>
        <c:axPos val="b"/>
        <c:numFmt formatCode="General" sourceLinked="1"/>
        <c:tickLblPos val="nextTo"/>
        <c:crossAx val="152437120"/>
        <c:crosses val="autoZero"/>
        <c:auto val="1"/>
        <c:lblAlgn val="ctr"/>
        <c:lblOffset val="100"/>
      </c:catAx>
      <c:valAx>
        <c:axId val="152437120"/>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357504"/>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70C776-8518-42A6-8BA6-469FF346C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30</Pages>
  <Words>1426</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2018-06-28T09:48:00Z</dcterms:created>
  <dcterms:modified xsi:type="dcterms:W3CDTF">2018-07-13T15:57:00Z</dcterms:modified>
</cp:coreProperties>
</file>