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25297">
      <w:r w:rsidRPr="00825297">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6307A4" w:rsidRDefault="00A51127" w:rsidP="004D3814">
                  <w:pPr>
                    <w:jc w:val="right"/>
                    <w:rPr>
                      <w:rFonts w:ascii="Segoe UI" w:hAnsi="Segoe UI" w:cs="Segoe UI"/>
                      <w:b/>
                      <w:sz w:val="72"/>
                      <w:szCs w:val="72"/>
                      <w:u w:val="single"/>
                    </w:rPr>
                  </w:pPr>
                  <w:r>
                    <w:rPr>
                      <w:rFonts w:ascii="Segoe UI" w:hAnsi="Segoe UI" w:cs="Segoe UI"/>
                      <w:b/>
                      <w:sz w:val="72"/>
                      <w:szCs w:val="72"/>
                      <w:u w:val="single"/>
                    </w:rPr>
                    <w:t>T</w:t>
                  </w:r>
                  <w:r w:rsidR="005E1A6B">
                    <w:rPr>
                      <w:rFonts w:ascii="Segoe UI" w:hAnsi="Segoe UI" w:cs="Segoe UI"/>
                      <w:b/>
                      <w:sz w:val="72"/>
                      <w:szCs w:val="72"/>
                      <w:u w:val="single"/>
                    </w:rPr>
                    <w:t>eignbridg</w:t>
                  </w:r>
                  <w:r w:rsidR="00EC4E18">
                    <w:rPr>
                      <w:rFonts w:ascii="Segoe UI" w:hAnsi="Segoe UI" w:cs="Segoe UI"/>
                      <w:b/>
                      <w:sz w:val="72"/>
                      <w:szCs w:val="72"/>
                      <w:u w:val="single"/>
                    </w:rPr>
                    <w:t>e</w:t>
                  </w:r>
                  <w:r w:rsidR="009E1F4D" w:rsidRPr="006307A4">
                    <w:rPr>
                      <w:rFonts w:ascii="Segoe UI" w:hAnsi="Segoe UI" w:cs="Segoe UI"/>
                      <w:b/>
                      <w:sz w:val="72"/>
                      <w:szCs w:val="72"/>
                      <w:u w:val="single"/>
                    </w:rPr>
                    <w:t xml:space="preserve"> </w:t>
                  </w:r>
                  <w:r w:rsidR="009579D3" w:rsidRPr="006307A4">
                    <w:rPr>
                      <w:rFonts w:ascii="Segoe UI" w:hAnsi="Segoe UI" w:cs="Segoe UI"/>
                      <w:b/>
                      <w:sz w:val="72"/>
                      <w:szCs w:val="72"/>
                      <w:u w:val="single"/>
                    </w:rPr>
                    <w:t>Housing Profile</w:t>
                  </w:r>
                </w:p>
                <w:p w:rsidR="009E1F4D" w:rsidRPr="006307A4"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825297"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825297"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825297"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825297"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825297"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51127">
      <w:pPr>
        <w:rPr>
          <w:rFonts w:ascii="Segoe UI" w:hAnsi="Segoe UI" w:cs="Segoe UI"/>
        </w:rPr>
      </w:pPr>
      <w:r>
        <w:rPr>
          <w:rFonts w:ascii="Segoe UI" w:hAnsi="Segoe UI" w:cs="Segoe UI"/>
        </w:rPr>
        <w:t>T</w:t>
      </w:r>
      <w:r w:rsidR="005E1A6B">
        <w:rPr>
          <w:rFonts w:ascii="Segoe UI" w:hAnsi="Segoe UI" w:cs="Segoe UI"/>
        </w:rPr>
        <w:t>eignbridg</w:t>
      </w:r>
      <w:r w:rsidR="00EC4E18">
        <w:rPr>
          <w:rFonts w:ascii="Segoe UI" w:hAnsi="Segoe UI" w:cs="Segoe UI"/>
        </w:rPr>
        <w:t>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5E1A6B">
        <w:rPr>
          <w:rFonts w:ascii="Segoe UI" w:hAnsi="Segoe UI" w:cs="Segoe UI"/>
        </w:rPr>
        <w:t>75</w:t>
      </w:r>
      <w:r w:rsidR="006307A4">
        <w:rPr>
          <w:rFonts w:ascii="Segoe UI" w:hAnsi="Segoe UI" w:cs="Segoe UI"/>
        </w:rPr>
        <w:t>0</w:t>
      </w:r>
      <w:r w:rsidR="00FA4ACC">
        <w:rPr>
          <w:rFonts w:ascii="Segoe UI" w:hAnsi="Segoe UI" w:cs="Segoe UI"/>
        </w:rPr>
        <w:t xml:space="preserve">, made up of </w:t>
      </w:r>
      <w:r w:rsidR="00EC4E18">
        <w:rPr>
          <w:rFonts w:ascii="Segoe UI" w:hAnsi="Segoe UI" w:cs="Segoe UI"/>
        </w:rPr>
        <w:t>5</w:t>
      </w:r>
      <w:r w:rsidR="00091178">
        <w:rPr>
          <w:rFonts w:ascii="Segoe UI" w:hAnsi="Segoe UI" w:cs="Segoe UI"/>
        </w:rPr>
        <w:t>9</w:t>
      </w:r>
      <w:r w:rsidR="006307A4">
        <w:rPr>
          <w:rFonts w:ascii="Segoe UI" w:hAnsi="Segoe UI" w:cs="Segoe UI"/>
        </w:rPr>
        <w:t>0</w:t>
      </w:r>
      <w:r w:rsidR="00FA4ACC">
        <w:rPr>
          <w:rFonts w:ascii="Segoe UI" w:hAnsi="Segoe UI" w:cs="Segoe UI"/>
        </w:rPr>
        <w:t xml:space="preserve"> private enterprise builds</w:t>
      </w:r>
      <w:r w:rsidR="00EC4E18">
        <w:rPr>
          <w:rFonts w:ascii="Segoe UI" w:hAnsi="Segoe UI" w:cs="Segoe UI"/>
        </w:rPr>
        <w:t xml:space="preserve"> and</w:t>
      </w:r>
      <w:r w:rsidR="006307A4">
        <w:rPr>
          <w:rFonts w:ascii="Segoe UI" w:hAnsi="Segoe UI" w:cs="Segoe UI"/>
        </w:rPr>
        <w:t xml:space="preserve"> </w:t>
      </w:r>
      <w:r>
        <w:rPr>
          <w:rFonts w:ascii="Segoe UI" w:hAnsi="Segoe UI" w:cs="Segoe UI"/>
        </w:rPr>
        <w:t>1</w:t>
      </w:r>
      <w:r w:rsidR="00EC4E18">
        <w:rPr>
          <w:rFonts w:ascii="Segoe UI" w:hAnsi="Segoe UI" w:cs="Segoe UI"/>
        </w:rPr>
        <w:t>6</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5E1A6B">
        <w:rPr>
          <w:rFonts w:ascii="Segoe UI" w:hAnsi="Segoe UI" w:cs="Segoe UI"/>
        </w:rPr>
        <w:t>60,710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061989">
        <w:rPr>
          <w:rFonts w:ascii="Segoe UI" w:hAnsi="Segoe UI" w:cs="Segoe UI"/>
        </w:rPr>
        <w:t>Teignbridge</w:t>
      </w:r>
      <w:r w:rsidR="002651E1">
        <w:rPr>
          <w:rFonts w:ascii="Segoe UI" w:hAnsi="Segoe UI" w:cs="Segoe UI"/>
        </w:rPr>
        <w:t xml:space="preserve"> </w:t>
      </w:r>
      <w:r w:rsidR="00465750">
        <w:rPr>
          <w:rFonts w:ascii="Segoe UI" w:hAnsi="Segoe UI" w:cs="Segoe UI"/>
        </w:rPr>
        <w:t xml:space="preserve">had net additions of </w:t>
      </w:r>
      <w:r w:rsidR="00061989">
        <w:rPr>
          <w:rFonts w:ascii="Segoe UI" w:hAnsi="Segoe UI" w:cs="Segoe UI"/>
        </w:rPr>
        <w:t>718</w:t>
      </w:r>
      <w:r w:rsidR="004A44E1">
        <w:rPr>
          <w:rFonts w:ascii="Segoe UI" w:hAnsi="Segoe UI" w:cs="Segoe UI"/>
        </w:rPr>
        <w:t xml:space="preserve"> dwellings</w:t>
      </w:r>
      <w:r w:rsidR="00465750">
        <w:rPr>
          <w:rFonts w:ascii="Segoe UI" w:hAnsi="Segoe UI" w:cs="Segoe UI"/>
        </w:rPr>
        <w:t xml:space="preserve"> comprised of </w:t>
      </w:r>
      <w:r w:rsidR="00061989">
        <w:rPr>
          <w:rFonts w:ascii="Segoe UI" w:hAnsi="Segoe UI" w:cs="Segoe UI"/>
        </w:rPr>
        <w:t>634</w:t>
      </w:r>
      <w:r w:rsidR="00465750">
        <w:rPr>
          <w:rFonts w:ascii="Segoe UI" w:hAnsi="Segoe UI" w:cs="Segoe UI"/>
        </w:rPr>
        <w:t xml:space="preserve"> new builds, </w:t>
      </w:r>
      <w:r w:rsidR="00061989">
        <w:rPr>
          <w:rFonts w:ascii="Segoe UI" w:hAnsi="Segoe UI" w:cs="Segoe UI"/>
        </w:rPr>
        <w:t>18</w:t>
      </w:r>
      <w:r w:rsidR="00465750">
        <w:rPr>
          <w:rFonts w:ascii="Segoe UI" w:hAnsi="Segoe UI" w:cs="Segoe UI"/>
        </w:rPr>
        <w:t xml:space="preserve"> conversations, </w:t>
      </w:r>
      <w:r w:rsidR="00061989">
        <w:rPr>
          <w:rFonts w:ascii="Segoe UI" w:hAnsi="Segoe UI" w:cs="Segoe UI"/>
        </w:rPr>
        <w:t>67</w:t>
      </w:r>
      <w:r w:rsidR="00465750">
        <w:rPr>
          <w:rFonts w:ascii="Segoe UI" w:hAnsi="Segoe UI" w:cs="Segoe UI"/>
        </w:rPr>
        <w:t xml:space="preserve"> change of use, and </w:t>
      </w:r>
      <w:r w:rsidR="00061989">
        <w:rPr>
          <w:rFonts w:ascii="Segoe UI" w:hAnsi="Segoe UI" w:cs="Segoe UI"/>
        </w:rPr>
        <w:t>5</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061989">
        <w:rPr>
          <w:rFonts w:ascii="Segoe UI" w:hAnsi="Segoe UI" w:cs="Segoe UI"/>
        </w:rPr>
        <w:t>Teignbridge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061989">
        <w:rPr>
          <w:rFonts w:ascii="Segoe UI" w:hAnsi="Segoe UI" w:cs="Segoe UI"/>
        </w:rPr>
        <w:t>eed per 1,000 households was 0.6</w:t>
      </w:r>
      <w:r>
        <w:rPr>
          <w:rFonts w:ascii="Segoe UI" w:hAnsi="Segoe UI" w:cs="Segoe UI"/>
        </w:rPr>
        <w:t xml:space="preserve"> the number of households accommodated in temporary accommodat</w:t>
      </w:r>
      <w:r w:rsidR="00061989">
        <w:rPr>
          <w:rFonts w:ascii="Segoe UI" w:hAnsi="Segoe UI" w:cs="Segoe UI"/>
        </w:rPr>
        <w:t>ion per 1,000 households was 0.7</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61989"/>
    <w:rsid w:val="00075447"/>
    <w:rsid w:val="00091178"/>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25297"/>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3620F"/>
    <w:rsid w:val="00A44C1F"/>
    <w:rsid w:val="00A51127"/>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C4E18"/>
    <w:rsid w:val="00ED52B1"/>
    <w:rsid w:val="00EE29BA"/>
    <w:rsid w:val="00EE339D"/>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Teignbridge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4.7145102147721314</c:v>
                </c:pt>
                <c:pt idx="1">
                  <c:v>4.8510048510048502</c:v>
                </c:pt>
                <c:pt idx="2">
                  <c:v>4.822597313124354</c:v>
                </c:pt>
                <c:pt idx="3">
                  <c:v>9.9060631938514074</c:v>
                </c:pt>
                <c:pt idx="4">
                  <c:v>8.2505472301734297</c:v>
                </c:pt>
                <c:pt idx="5">
                  <c:v>7.6602830974188176</c:v>
                </c:pt>
                <c:pt idx="6">
                  <c:v>9.224180530390381</c:v>
                </c:pt>
                <c:pt idx="7">
                  <c:v>7.4122879262065551</c:v>
                </c:pt>
              </c:numCache>
            </c:numRef>
          </c:val>
        </c:ser>
        <c:marker val="1"/>
        <c:axId val="153664128"/>
        <c:axId val="153780608"/>
      </c:lineChart>
      <c:catAx>
        <c:axId val="153664128"/>
        <c:scaling>
          <c:orientation val="minMax"/>
        </c:scaling>
        <c:axPos val="b"/>
        <c:tickLblPos val="nextTo"/>
        <c:txPr>
          <a:bodyPr/>
          <a:lstStyle/>
          <a:p>
            <a:pPr>
              <a:defRPr sz="1000"/>
            </a:pPr>
            <a:endParaRPr lang="en-US"/>
          </a:p>
        </c:txPr>
        <c:crossAx val="153780608"/>
        <c:crosses val="autoZero"/>
        <c:auto val="1"/>
        <c:lblAlgn val="ctr"/>
        <c:lblOffset val="100"/>
      </c:catAx>
      <c:valAx>
        <c:axId val="153780608"/>
        <c:scaling>
          <c:orientation val="minMax"/>
        </c:scaling>
        <c:axPos val="l"/>
        <c:majorGridlines/>
        <c:numFmt formatCode="General" sourceLinked="1"/>
        <c:tickLblPos val="nextTo"/>
        <c:crossAx val="153664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Teignbridge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0.17223561832586981</c:v>
                </c:pt>
                <c:pt idx="1">
                  <c:v>0.34158838599487618</c:v>
                </c:pt>
                <c:pt idx="2">
                  <c:v>0.3367570298029971</c:v>
                </c:pt>
                <c:pt idx="3">
                  <c:v>0.49958368026644456</c:v>
                </c:pt>
                <c:pt idx="4">
                  <c:v>0.29649151704826227</c:v>
                </c:pt>
              </c:numCache>
            </c:numRef>
          </c:val>
        </c:ser>
        <c:marker val="1"/>
        <c:axId val="181484544"/>
        <c:axId val="181494528"/>
      </c:lineChart>
      <c:catAx>
        <c:axId val="181484544"/>
        <c:scaling>
          <c:orientation val="minMax"/>
        </c:scaling>
        <c:axPos val="b"/>
        <c:tickLblPos val="nextTo"/>
        <c:crossAx val="181494528"/>
        <c:crosses val="autoZero"/>
        <c:auto val="1"/>
        <c:lblAlgn val="ctr"/>
        <c:lblOffset val="100"/>
      </c:catAx>
      <c:valAx>
        <c:axId val="181494528"/>
        <c:scaling>
          <c:orientation val="minMax"/>
        </c:scaling>
        <c:axPos val="l"/>
        <c:majorGridlines/>
        <c:numFmt formatCode="General" sourceLinked="1"/>
        <c:tickLblPos val="nextTo"/>
        <c:crossAx val="181484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Teignbridge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0.51670685497760938</c:v>
                </c:pt>
                <c:pt idx="1">
                  <c:v>2.0495303159692573</c:v>
                </c:pt>
                <c:pt idx="2">
                  <c:v>1.8521636639164842</c:v>
                </c:pt>
                <c:pt idx="3">
                  <c:v>1.1656952539550376</c:v>
                </c:pt>
                <c:pt idx="4">
                  <c:v>1.1036073134574205</c:v>
                </c:pt>
              </c:numCache>
            </c:numRef>
          </c:val>
        </c:ser>
        <c:marker val="1"/>
        <c:axId val="181541504"/>
        <c:axId val="181555584"/>
      </c:lineChart>
      <c:catAx>
        <c:axId val="181541504"/>
        <c:scaling>
          <c:orientation val="minMax"/>
        </c:scaling>
        <c:axPos val="b"/>
        <c:tickLblPos val="nextTo"/>
        <c:crossAx val="181555584"/>
        <c:crosses val="autoZero"/>
        <c:auto val="1"/>
        <c:lblAlgn val="ctr"/>
        <c:lblOffset val="100"/>
      </c:catAx>
      <c:valAx>
        <c:axId val="181555584"/>
        <c:scaling>
          <c:orientation val="minMax"/>
        </c:scaling>
        <c:axPos val="l"/>
        <c:majorGridlines/>
        <c:numFmt formatCode="General" sourceLinked="1"/>
        <c:tickLblPos val="nextTo"/>
        <c:crossAx val="181541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Teignbridge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0.17223561832586981</c:v>
                </c:pt>
                <c:pt idx="1">
                  <c:v>0</c:v>
                </c:pt>
                <c:pt idx="2">
                  <c:v>0.3367570298029971</c:v>
                </c:pt>
                <c:pt idx="3">
                  <c:v>0.49958368026644456</c:v>
                </c:pt>
                <c:pt idx="4">
                  <c:v>6.5887003788502721E-2</c:v>
                </c:pt>
              </c:numCache>
            </c:numRef>
          </c:val>
        </c:ser>
        <c:marker val="1"/>
        <c:axId val="181577984"/>
        <c:axId val="181604352"/>
      </c:lineChart>
      <c:catAx>
        <c:axId val="181577984"/>
        <c:scaling>
          <c:orientation val="minMax"/>
        </c:scaling>
        <c:axPos val="b"/>
        <c:tickLblPos val="nextTo"/>
        <c:crossAx val="181604352"/>
        <c:crosses val="autoZero"/>
        <c:auto val="1"/>
        <c:lblAlgn val="ctr"/>
        <c:lblOffset val="100"/>
      </c:catAx>
      <c:valAx>
        <c:axId val="181604352"/>
        <c:scaling>
          <c:orientation val="minMax"/>
        </c:scaling>
        <c:axPos val="l"/>
        <c:majorGridlines/>
        <c:numFmt formatCode="General" sourceLinked="1"/>
        <c:tickLblPos val="nextTo"/>
        <c:crossAx val="181577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Teignbridge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c:v>
                </c:pt>
                <c:pt idx="3">
                  <c:v>0.33305578684429643</c:v>
                </c:pt>
                <c:pt idx="4">
                  <c:v>8.2358754735628398E-2</c:v>
                </c:pt>
              </c:numCache>
            </c:numRef>
          </c:val>
        </c:ser>
        <c:marker val="1"/>
        <c:axId val="181614464"/>
        <c:axId val="181616000"/>
      </c:lineChart>
      <c:catAx>
        <c:axId val="181614464"/>
        <c:scaling>
          <c:orientation val="minMax"/>
        </c:scaling>
        <c:axPos val="b"/>
        <c:tickLblPos val="nextTo"/>
        <c:crossAx val="181616000"/>
        <c:crosses val="autoZero"/>
        <c:auto val="1"/>
        <c:lblAlgn val="ctr"/>
        <c:lblOffset val="100"/>
      </c:catAx>
      <c:valAx>
        <c:axId val="181616000"/>
        <c:scaling>
          <c:orientation val="minMax"/>
        </c:scaling>
        <c:axPos val="l"/>
        <c:majorGridlines/>
        <c:numFmt formatCode="General" sourceLinked="1"/>
        <c:tickLblPos val="nextTo"/>
        <c:crossAx val="1816144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Teignbridge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8.4395452979676193</c:v>
                </c:pt>
                <c:pt idx="1">
                  <c:v>14.3467122117848</c:v>
                </c:pt>
                <c:pt idx="2">
                  <c:v>11.112981983498905</c:v>
                </c:pt>
                <c:pt idx="3">
                  <c:v>10.990840965861782</c:v>
                </c:pt>
                <c:pt idx="4">
                  <c:v>11.826717180036239</c:v>
                </c:pt>
              </c:numCache>
            </c:numRef>
          </c:val>
        </c:ser>
        <c:marker val="1"/>
        <c:axId val="181663232"/>
        <c:axId val="181664768"/>
      </c:lineChart>
      <c:catAx>
        <c:axId val="181663232"/>
        <c:scaling>
          <c:orientation val="minMax"/>
        </c:scaling>
        <c:axPos val="b"/>
        <c:tickLblPos val="nextTo"/>
        <c:crossAx val="181664768"/>
        <c:crosses val="autoZero"/>
        <c:auto val="1"/>
        <c:lblAlgn val="ctr"/>
        <c:lblOffset val="100"/>
      </c:catAx>
      <c:valAx>
        <c:axId val="181664768"/>
        <c:scaling>
          <c:orientation val="minMax"/>
        </c:scaling>
        <c:axPos val="l"/>
        <c:majorGridlines/>
        <c:numFmt formatCode="General" sourceLinked="1"/>
        <c:tickLblPos val="nextTo"/>
        <c:crossAx val="181663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Teignbridge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8.77</c:v>
                </c:pt>
                <c:pt idx="1">
                  <c:v>9.01</c:v>
                </c:pt>
                <c:pt idx="2">
                  <c:v>8.9</c:v>
                </c:pt>
                <c:pt idx="3">
                  <c:v>9.52</c:v>
                </c:pt>
                <c:pt idx="4">
                  <c:v>9.6300000000000008</c:v>
                </c:pt>
              </c:numCache>
            </c:numRef>
          </c:val>
        </c:ser>
        <c:marker val="1"/>
        <c:axId val="181702656"/>
        <c:axId val="181704192"/>
      </c:lineChart>
      <c:catAx>
        <c:axId val="181702656"/>
        <c:scaling>
          <c:orientation val="minMax"/>
        </c:scaling>
        <c:axPos val="b"/>
        <c:numFmt formatCode="General" sourceLinked="1"/>
        <c:tickLblPos val="nextTo"/>
        <c:crossAx val="181704192"/>
        <c:crosses val="autoZero"/>
        <c:auto val="1"/>
        <c:lblAlgn val="ctr"/>
        <c:lblOffset val="100"/>
      </c:catAx>
      <c:valAx>
        <c:axId val="181704192"/>
        <c:scaling>
          <c:orientation val="minMax"/>
        </c:scaling>
        <c:axPos val="l"/>
        <c:majorGridlines/>
        <c:numFmt formatCode="General" sourceLinked="1"/>
        <c:tickLblPos val="nextTo"/>
        <c:crossAx val="181702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Teignbridge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8.7588604451668246</c:v>
                </c:pt>
                <c:pt idx="1">
                  <c:v>8.5588311576035281</c:v>
                </c:pt>
                <c:pt idx="2">
                  <c:v>8.85</c:v>
                </c:pt>
                <c:pt idx="3">
                  <c:v>9.4102885821831865</c:v>
                </c:pt>
                <c:pt idx="4">
                  <c:v>9.9600000000000009</c:v>
                </c:pt>
              </c:numCache>
            </c:numRef>
          </c:val>
        </c:ser>
        <c:marker val="1"/>
        <c:axId val="181726592"/>
        <c:axId val="181806208"/>
      </c:lineChart>
      <c:catAx>
        <c:axId val="181726592"/>
        <c:scaling>
          <c:orientation val="minMax"/>
        </c:scaling>
        <c:axPos val="b"/>
        <c:numFmt formatCode="General" sourceLinked="1"/>
        <c:tickLblPos val="nextTo"/>
        <c:crossAx val="181806208"/>
        <c:crosses val="autoZero"/>
        <c:auto val="1"/>
        <c:lblAlgn val="ctr"/>
        <c:lblOffset val="100"/>
      </c:catAx>
      <c:valAx>
        <c:axId val="181806208"/>
        <c:scaling>
          <c:orientation val="minMax"/>
        </c:scaling>
        <c:axPos val="l"/>
        <c:majorGridlines/>
        <c:numFmt formatCode="General" sourceLinked="1"/>
        <c:tickLblPos val="nextTo"/>
        <c:crossAx val="181726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Teignbridge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71.59</c:v>
                </c:pt>
                <c:pt idx="1">
                  <c:v>71.16</c:v>
                </c:pt>
                <c:pt idx="2">
                  <c:v>75.12</c:v>
                </c:pt>
                <c:pt idx="3">
                  <c:v>80.650000000000006</c:v>
                </c:pt>
                <c:pt idx="4">
                  <c:v>84.15</c:v>
                </c:pt>
                <c:pt idx="5">
                  <c:v>87.87</c:v>
                </c:pt>
                <c:pt idx="6">
                  <c:v>89.756829836829837</c:v>
                </c:pt>
                <c:pt idx="7">
                  <c:v>88.842573765702596</c:v>
                </c:pt>
              </c:numCache>
            </c:numRef>
          </c:val>
        </c:ser>
        <c:marker val="1"/>
        <c:axId val="181731328"/>
        <c:axId val="181732864"/>
      </c:lineChart>
      <c:catAx>
        <c:axId val="181731328"/>
        <c:scaling>
          <c:orientation val="minMax"/>
        </c:scaling>
        <c:axPos val="b"/>
        <c:numFmt formatCode="General" sourceLinked="1"/>
        <c:tickLblPos val="nextTo"/>
        <c:crossAx val="181732864"/>
        <c:crosses val="autoZero"/>
        <c:auto val="1"/>
        <c:lblAlgn val="ctr"/>
        <c:lblOffset val="100"/>
      </c:catAx>
      <c:valAx>
        <c:axId val="18173286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1731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Teignbridge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1.3272727272727274</c:v>
                </c:pt>
                <c:pt idx="1">
                  <c:v>1</c:v>
                </c:pt>
                <c:pt idx="2">
                  <c:v>0.85</c:v>
                </c:pt>
                <c:pt idx="3">
                  <c:v>1.3805129695560561</c:v>
                </c:pt>
                <c:pt idx="4">
                  <c:v>0.77</c:v>
                </c:pt>
                <c:pt idx="5">
                  <c:v>0.75</c:v>
                </c:pt>
                <c:pt idx="6">
                  <c:v>0.56000000000000005</c:v>
                </c:pt>
              </c:numCache>
            </c:numRef>
          </c:val>
        </c:ser>
        <c:marker val="1"/>
        <c:axId val="181772288"/>
        <c:axId val="181773824"/>
      </c:lineChart>
      <c:catAx>
        <c:axId val="181772288"/>
        <c:scaling>
          <c:orientation val="minMax"/>
        </c:scaling>
        <c:axPos val="b"/>
        <c:tickLblPos val="nextTo"/>
        <c:crossAx val="181773824"/>
        <c:crosses val="autoZero"/>
        <c:auto val="1"/>
        <c:lblAlgn val="ctr"/>
        <c:lblOffset val="100"/>
      </c:catAx>
      <c:valAx>
        <c:axId val="181773824"/>
        <c:scaling>
          <c:orientation val="minMax"/>
        </c:scaling>
        <c:axPos val="l"/>
        <c:majorGridlines/>
        <c:numFmt formatCode="General" sourceLinked="1"/>
        <c:tickLblPos val="nextTo"/>
        <c:crossAx val="181772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Teignbridge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0.30909090909090908</c:v>
                </c:pt>
                <c:pt idx="1">
                  <c:v>0.35</c:v>
                </c:pt>
                <c:pt idx="2">
                  <c:v>0.51</c:v>
                </c:pt>
                <c:pt idx="3">
                  <c:v>0.63576255176923635</c:v>
                </c:pt>
                <c:pt idx="4">
                  <c:v>0.57999999999999996</c:v>
                </c:pt>
                <c:pt idx="5">
                  <c:v>0.7</c:v>
                </c:pt>
                <c:pt idx="6">
                  <c:v>0.67</c:v>
                </c:pt>
              </c:numCache>
            </c:numRef>
          </c:val>
        </c:ser>
        <c:marker val="1"/>
        <c:axId val="181865856"/>
        <c:axId val="181884032"/>
      </c:lineChart>
      <c:catAx>
        <c:axId val="181865856"/>
        <c:scaling>
          <c:orientation val="minMax"/>
        </c:scaling>
        <c:axPos val="b"/>
        <c:tickLblPos val="nextTo"/>
        <c:crossAx val="181884032"/>
        <c:crosses val="autoZero"/>
        <c:auto val="1"/>
        <c:lblAlgn val="ctr"/>
        <c:lblOffset val="100"/>
      </c:catAx>
      <c:valAx>
        <c:axId val="181884032"/>
        <c:scaling>
          <c:orientation val="minMax"/>
        </c:scaling>
        <c:axPos val="l"/>
        <c:majorGridlines/>
        <c:numFmt formatCode="General" sourceLinked="1"/>
        <c:tickLblPos val="nextTo"/>
        <c:crossAx val="181865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Teignbridge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0.52383446830801472</c:v>
                </c:pt>
                <c:pt idx="1">
                  <c:v>1.5592515592515597</c:v>
                </c:pt>
                <c:pt idx="2">
                  <c:v>0.51670685497760938</c:v>
                </c:pt>
                <c:pt idx="3">
                  <c:v>2.5619128949615715</c:v>
                </c:pt>
                <c:pt idx="4">
                  <c:v>1.5154066341134869</c:v>
                </c:pt>
                <c:pt idx="5">
                  <c:v>0.99916736053288902</c:v>
                </c:pt>
                <c:pt idx="6">
                  <c:v>2.3060451325975944</c:v>
                </c:pt>
                <c:pt idx="7">
                  <c:v>2.3060451325975944</c:v>
                </c:pt>
              </c:numCache>
            </c:numRef>
          </c:val>
        </c:ser>
        <c:marker val="1"/>
        <c:axId val="141757056"/>
        <c:axId val="141767040"/>
      </c:lineChart>
      <c:catAx>
        <c:axId val="141757056"/>
        <c:scaling>
          <c:orientation val="minMax"/>
        </c:scaling>
        <c:axPos val="b"/>
        <c:tickLblPos val="nextTo"/>
        <c:crossAx val="141767040"/>
        <c:crosses val="autoZero"/>
        <c:auto val="1"/>
        <c:lblAlgn val="ctr"/>
        <c:lblOffset val="100"/>
      </c:catAx>
      <c:valAx>
        <c:axId val="141767040"/>
        <c:scaling>
          <c:orientation val="minMax"/>
        </c:scaling>
        <c:axPos val="l"/>
        <c:majorGridlines/>
        <c:numFmt formatCode="General" sourceLinked="1"/>
        <c:tickLblPos val="nextTo"/>
        <c:crossAx val="141757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Teignbridge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41797632"/>
        <c:axId val="141815808"/>
      </c:lineChart>
      <c:catAx>
        <c:axId val="141797632"/>
        <c:scaling>
          <c:orientation val="minMax"/>
        </c:scaling>
        <c:axPos val="b"/>
        <c:tickLblPos val="nextTo"/>
        <c:crossAx val="141815808"/>
        <c:crosses val="autoZero"/>
        <c:auto val="1"/>
        <c:lblAlgn val="ctr"/>
        <c:lblOffset val="100"/>
      </c:catAx>
      <c:valAx>
        <c:axId val="141815808"/>
        <c:scaling>
          <c:orientation val="minMax"/>
        </c:scaling>
        <c:axPos val="l"/>
        <c:majorGridlines/>
        <c:numFmt formatCode="General" sourceLinked="1"/>
        <c:tickLblPos val="nextTo"/>
        <c:crossAx val="141797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Teignbridge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5.412956172516151</c:v>
                </c:pt>
                <c:pt idx="1">
                  <c:v>6.4102564102564097</c:v>
                </c:pt>
                <c:pt idx="2">
                  <c:v>5.3393041681019637</c:v>
                </c:pt>
                <c:pt idx="3">
                  <c:v>12.46797608881298</c:v>
                </c:pt>
                <c:pt idx="4">
                  <c:v>9.765953864286919</c:v>
                </c:pt>
                <c:pt idx="5">
                  <c:v>8.4929225645295592</c:v>
                </c:pt>
                <c:pt idx="6">
                  <c:v>11.530225662987974</c:v>
                </c:pt>
                <c:pt idx="7">
                  <c:v>9.7183330588041503</c:v>
                </c:pt>
              </c:numCache>
            </c:numRef>
          </c:val>
        </c:ser>
        <c:marker val="1"/>
        <c:axId val="181241728"/>
        <c:axId val="181243264"/>
      </c:lineChart>
      <c:catAx>
        <c:axId val="181241728"/>
        <c:scaling>
          <c:orientation val="minMax"/>
        </c:scaling>
        <c:axPos val="b"/>
        <c:tickLblPos val="nextTo"/>
        <c:crossAx val="181243264"/>
        <c:crosses val="autoZero"/>
        <c:auto val="1"/>
        <c:lblAlgn val="ctr"/>
        <c:lblOffset val="100"/>
      </c:catAx>
      <c:valAx>
        <c:axId val="181243264"/>
        <c:scaling>
          <c:orientation val="minMax"/>
        </c:scaling>
        <c:axPos val="l"/>
        <c:majorGridlines/>
        <c:numFmt formatCode="General" sourceLinked="1"/>
        <c:tickLblPos val="nextTo"/>
        <c:crossAx val="1812417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Teignbridge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3.4922297887200981</c:v>
                </c:pt>
                <c:pt idx="1">
                  <c:v>4.8510048510048502</c:v>
                </c:pt>
                <c:pt idx="2">
                  <c:v>5.6837754047537032</c:v>
                </c:pt>
                <c:pt idx="3">
                  <c:v>6.3193851409052089</c:v>
                </c:pt>
                <c:pt idx="4">
                  <c:v>9.765953864286919</c:v>
                </c:pt>
                <c:pt idx="5">
                  <c:v>8.1598667776852647</c:v>
                </c:pt>
                <c:pt idx="6">
                  <c:v>5.9298303409652435</c:v>
                </c:pt>
                <c:pt idx="7">
                  <c:v>9.7183330588041503</c:v>
                </c:pt>
              </c:numCache>
            </c:numRef>
          </c:val>
        </c:ser>
        <c:marker val="1"/>
        <c:axId val="181274112"/>
        <c:axId val="181275648"/>
      </c:lineChart>
      <c:catAx>
        <c:axId val="181274112"/>
        <c:scaling>
          <c:orientation val="minMax"/>
        </c:scaling>
        <c:axPos val="b"/>
        <c:tickLblPos val="nextTo"/>
        <c:crossAx val="181275648"/>
        <c:crosses val="autoZero"/>
        <c:auto val="1"/>
        <c:lblAlgn val="ctr"/>
        <c:lblOffset val="100"/>
      </c:catAx>
      <c:valAx>
        <c:axId val="181275648"/>
        <c:scaling>
          <c:orientation val="minMax"/>
        </c:scaling>
        <c:axPos val="l"/>
        <c:majorGridlines/>
        <c:numFmt formatCode="General" sourceLinked="1"/>
        <c:tickLblPos val="nextTo"/>
        <c:crossAx val="1812741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Teignbridge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0.52383446830801472</c:v>
                </c:pt>
                <c:pt idx="1">
                  <c:v>0.3465003465003465</c:v>
                </c:pt>
                <c:pt idx="2">
                  <c:v>1.722356183258698</c:v>
                </c:pt>
                <c:pt idx="3">
                  <c:v>0.8539709649871905</c:v>
                </c:pt>
                <c:pt idx="4">
                  <c:v>2.5256777235224788</c:v>
                </c:pt>
                <c:pt idx="5">
                  <c:v>1.3322231473771855</c:v>
                </c:pt>
                <c:pt idx="6">
                  <c:v>0.98830505682754077</c:v>
                </c:pt>
                <c:pt idx="7">
                  <c:v>2.6354801515401087</c:v>
                </c:pt>
              </c:numCache>
            </c:numRef>
          </c:val>
        </c:ser>
        <c:marker val="1"/>
        <c:axId val="181322880"/>
        <c:axId val="181324416"/>
      </c:lineChart>
      <c:catAx>
        <c:axId val="181322880"/>
        <c:scaling>
          <c:orientation val="minMax"/>
        </c:scaling>
        <c:axPos val="b"/>
        <c:tickLblPos val="nextTo"/>
        <c:crossAx val="181324416"/>
        <c:crosses val="autoZero"/>
        <c:auto val="1"/>
        <c:lblAlgn val="ctr"/>
        <c:lblOffset val="100"/>
      </c:catAx>
      <c:valAx>
        <c:axId val="181324416"/>
        <c:scaling>
          <c:orientation val="minMax"/>
        </c:scaling>
        <c:axPos val="l"/>
        <c:majorGridlines/>
        <c:numFmt formatCode="General" sourceLinked="1"/>
        <c:tickLblPos val="nextTo"/>
        <c:crossAx val="181322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Teignbridge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81375744"/>
        <c:axId val="181377280"/>
      </c:lineChart>
      <c:catAx>
        <c:axId val="181375744"/>
        <c:scaling>
          <c:orientation val="minMax"/>
        </c:scaling>
        <c:axPos val="b"/>
        <c:tickLblPos val="nextTo"/>
        <c:crossAx val="181377280"/>
        <c:crosses val="autoZero"/>
        <c:auto val="1"/>
        <c:lblAlgn val="ctr"/>
        <c:lblOffset val="100"/>
      </c:catAx>
      <c:valAx>
        <c:axId val="181377280"/>
        <c:scaling>
          <c:orientation val="minMax"/>
        </c:scaling>
        <c:axPos val="l"/>
        <c:majorGridlines/>
        <c:numFmt formatCode="General" sourceLinked="1"/>
        <c:tickLblPos val="nextTo"/>
        <c:crossAx val="181375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Teignbridge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4.1906757464641178</c:v>
                </c:pt>
                <c:pt idx="1">
                  <c:v>5.024255024255023</c:v>
                </c:pt>
                <c:pt idx="2">
                  <c:v>7.4061315880124008</c:v>
                </c:pt>
                <c:pt idx="3">
                  <c:v>7.1733561058924007</c:v>
                </c:pt>
                <c:pt idx="4">
                  <c:v>12.291631587809396</c:v>
                </c:pt>
                <c:pt idx="5">
                  <c:v>9.4920899250624515</c:v>
                </c:pt>
                <c:pt idx="6">
                  <c:v>6.9181353977927857</c:v>
                </c:pt>
                <c:pt idx="7">
                  <c:v>12.353813210344263</c:v>
                </c:pt>
              </c:numCache>
            </c:numRef>
          </c:val>
        </c:ser>
        <c:marker val="1"/>
        <c:axId val="181408128"/>
        <c:axId val="181409664"/>
      </c:lineChart>
      <c:catAx>
        <c:axId val="181408128"/>
        <c:scaling>
          <c:orientation val="minMax"/>
        </c:scaling>
        <c:axPos val="b"/>
        <c:tickLblPos val="nextTo"/>
        <c:crossAx val="181409664"/>
        <c:crosses val="autoZero"/>
        <c:auto val="1"/>
        <c:lblAlgn val="ctr"/>
        <c:lblOffset val="100"/>
      </c:catAx>
      <c:valAx>
        <c:axId val="181409664"/>
        <c:scaling>
          <c:orientation val="minMax"/>
        </c:scaling>
        <c:axPos val="l"/>
        <c:majorGridlines/>
        <c:numFmt formatCode="General" sourceLinked="1"/>
        <c:tickLblPos val="nextTo"/>
        <c:crossAx val="181408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Teignbridge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7.578367206338271</c:v>
                </c:pt>
                <c:pt idx="1">
                  <c:v>11.955593509820666</c:v>
                </c:pt>
                <c:pt idx="2">
                  <c:v>8.5873042599764258</c:v>
                </c:pt>
                <c:pt idx="3">
                  <c:v>9.1590341382181517</c:v>
                </c:pt>
                <c:pt idx="4">
                  <c:v>10.443090100477681</c:v>
                </c:pt>
              </c:numCache>
            </c:numRef>
          </c:val>
        </c:ser>
        <c:marker val="1"/>
        <c:axId val="181444608"/>
        <c:axId val="181446144"/>
      </c:lineChart>
      <c:catAx>
        <c:axId val="181444608"/>
        <c:scaling>
          <c:orientation val="minMax"/>
        </c:scaling>
        <c:axPos val="b"/>
        <c:tickLblPos val="nextTo"/>
        <c:crossAx val="181446144"/>
        <c:crosses val="autoZero"/>
        <c:auto val="1"/>
        <c:lblAlgn val="ctr"/>
        <c:lblOffset val="100"/>
      </c:catAx>
      <c:valAx>
        <c:axId val="181446144"/>
        <c:scaling>
          <c:orientation val="minMax"/>
        </c:scaling>
        <c:axPos val="l"/>
        <c:majorGridlines/>
        <c:numFmt formatCode="General" sourceLinked="1"/>
        <c:tickLblPos val="nextTo"/>
        <c:crossAx val="181444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E82112-9F1C-4C7D-9641-FAC741201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2018-04-30T13:56:00Z</dcterms:created>
  <dcterms:modified xsi:type="dcterms:W3CDTF">2018-05-08T12:59:00Z</dcterms:modified>
</cp:coreProperties>
</file>