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36BB5">
      <w:r w:rsidRPr="00D36BB5">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45181" w:rsidRDefault="00945181" w:rsidP="004D3814">
                  <w:pPr>
                    <w:jc w:val="right"/>
                    <w:rPr>
                      <w:rFonts w:ascii="Segoe UI" w:hAnsi="Segoe UI" w:cs="Segoe UI"/>
                      <w:b/>
                      <w:sz w:val="56"/>
                      <w:szCs w:val="72"/>
                      <w:u w:val="single"/>
                    </w:rPr>
                  </w:pPr>
                  <w:r w:rsidRPr="00945181">
                    <w:rPr>
                      <w:rFonts w:ascii="Segoe UI" w:hAnsi="Segoe UI" w:cs="Segoe UI"/>
                      <w:b/>
                      <w:sz w:val="56"/>
                      <w:szCs w:val="72"/>
                      <w:u w:val="single"/>
                    </w:rPr>
                    <w:t>Vale of White Horse</w:t>
                  </w:r>
                  <w:r w:rsidR="009E1F4D" w:rsidRPr="00945181">
                    <w:rPr>
                      <w:rFonts w:ascii="Segoe UI" w:hAnsi="Segoe UI" w:cs="Segoe UI"/>
                      <w:b/>
                      <w:sz w:val="56"/>
                      <w:szCs w:val="72"/>
                      <w:u w:val="single"/>
                    </w:rPr>
                    <w:t xml:space="preserve"> </w:t>
                  </w:r>
                  <w:r w:rsidR="009579D3" w:rsidRPr="00945181">
                    <w:rPr>
                      <w:rFonts w:ascii="Segoe UI" w:hAnsi="Segoe UI" w:cs="Segoe UI"/>
                      <w:b/>
                      <w:sz w:val="56"/>
                      <w:szCs w:val="72"/>
                      <w:u w:val="single"/>
                    </w:rPr>
                    <w:t>Housing Profile</w:t>
                  </w:r>
                </w:p>
                <w:p w:rsidR="009E1F4D" w:rsidRPr="00945181" w:rsidRDefault="009E1F4D"/>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D36BB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D36BB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D36BB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D36BB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D36BB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945181">
      <w:pPr>
        <w:rPr>
          <w:rFonts w:ascii="Segoe UI" w:hAnsi="Segoe UI" w:cs="Segoe UI"/>
        </w:rPr>
      </w:pPr>
      <w:r>
        <w:rPr>
          <w:rFonts w:ascii="Segoe UI" w:hAnsi="Segoe UI" w:cs="Segoe UI"/>
        </w:rPr>
        <w:t>Vale of White Horse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7</w:t>
      </w:r>
      <w:r w:rsidR="00EF3089">
        <w:rPr>
          <w:rFonts w:ascii="Segoe UI" w:hAnsi="Segoe UI" w:cs="Segoe UI"/>
        </w:rPr>
        <w:t>2</w:t>
      </w:r>
      <w:r w:rsidR="006307A4">
        <w:rPr>
          <w:rFonts w:ascii="Segoe UI" w:hAnsi="Segoe UI" w:cs="Segoe UI"/>
        </w:rPr>
        <w:t>0</w:t>
      </w:r>
      <w:r w:rsidR="00FA4ACC">
        <w:rPr>
          <w:rFonts w:ascii="Segoe UI" w:hAnsi="Segoe UI" w:cs="Segoe UI"/>
        </w:rPr>
        <w:t xml:space="preserve">, made up of </w:t>
      </w:r>
      <w:r>
        <w:rPr>
          <w:rFonts w:ascii="Segoe UI" w:hAnsi="Segoe UI" w:cs="Segoe UI"/>
        </w:rPr>
        <w:t>45</w:t>
      </w:r>
      <w:r w:rsidR="006307A4">
        <w:rPr>
          <w:rFonts w:ascii="Segoe UI" w:hAnsi="Segoe UI" w:cs="Segoe UI"/>
        </w:rPr>
        <w:t>0</w:t>
      </w:r>
      <w:r w:rsidR="00FA4ACC">
        <w:rPr>
          <w:rFonts w:ascii="Segoe UI" w:hAnsi="Segoe UI" w:cs="Segoe UI"/>
        </w:rPr>
        <w:t xml:space="preserve"> private enterprise builds</w:t>
      </w:r>
      <w:r w:rsidR="00EF3089">
        <w:rPr>
          <w:rFonts w:ascii="Segoe UI" w:hAnsi="Segoe UI" w:cs="Segoe UI"/>
        </w:rPr>
        <w:t>,</w:t>
      </w:r>
      <w:r w:rsidR="006307A4">
        <w:rPr>
          <w:rFonts w:ascii="Segoe UI" w:hAnsi="Segoe UI" w:cs="Segoe UI"/>
        </w:rPr>
        <w:t xml:space="preserve"> </w:t>
      </w:r>
      <w:r>
        <w:rPr>
          <w:rFonts w:ascii="Segoe UI" w:hAnsi="Segoe UI" w:cs="Segoe UI"/>
        </w:rPr>
        <w:t>23</w:t>
      </w:r>
      <w:r w:rsidR="00A159B7">
        <w:rPr>
          <w:rFonts w:ascii="Segoe UI" w:hAnsi="Segoe UI" w:cs="Segoe UI"/>
        </w:rPr>
        <w:t xml:space="preserve">0 housing association </w:t>
      </w:r>
      <w:r w:rsidR="00274051">
        <w:rPr>
          <w:rFonts w:ascii="Segoe UI" w:hAnsi="Segoe UI" w:cs="Segoe UI"/>
        </w:rPr>
        <w:t>builds</w:t>
      </w:r>
      <w:r>
        <w:rPr>
          <w:rFonts w:ascii="Segoe UI" w:hAnsi="Segoe UI" w:cs="Segoe UI"/>
        </w:rPr>
        <w:t xml:space="preserve"> and 4</w:t>
      </w:r>
      <w:r w:rsidR="00EF3089">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54,220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943F4">
        <w:rPr>
          <w:rFonts w:ascii="Segoe UI" w:hAnsi="Segoe UI" w:cs="Segoe UI"/>
        </w:rPr>
        <w:t>V</w:t>
      </w:r>
      <w:r w:rsidR="002651E1">
        <w:rPr>
          <w:rFonts w:ascii="Segoe UI" w:hAnsi="Segoe UI" w:cs="Segoe UI"/>
        </w:rPr>
        <w:t xml:space="preserve">ale </w:t>
      </w:r>
      <w:r w:rsidR="003943F4">
        <w:rPr>
          <w:rFonts w:ascii="Segoe UI" w:hAnsi="Segoe UI" w:cs="Segoe UI"/>
        </w:rPr>
        <w:t xml:space="preserve">of White Horse </w:t>
      </w:r>
      <w:r w:rsidR="00465750">
        <w:rPr>
          <w:rFonts w:ascii="Segoe UI" w:hAnsi="Segoe UI" w:cs="Segoe UI"/>
        </w:rPr>
        <w:t xml:space="preserve">had net additions of </w:t>
      </w:r>
      <w:r w:rsidR="003943F4">
        <w:rPr>
          <w:rFonts w:ascii="Segoe UI" w:hAnsi="Segoe UI" w:cs="Segoe UI"/>
        </w:rPr>
        <w:t>1,615</w:t>
      </w:r>
      <w:r w:rsidR="004A44E1">
        <w:rPr>
          <w:rFonts w:ascii="Segoe UI" w:hAnsi="Segoe UI" w:cs="Segoe UI"/>
        </w:rPr>
        <w:t xml:space="preserve"> dwellings</w:t>
      </w:r>
      <w:r w:rsidR="00465750">
        <w:rPr>
          <w:rFonts w:ascii="Segoe UI" w:hAnsi="Segoe UI" w:cs="Segoe UI"/>
        </w:rPr>
        <w:t xml:space="preserve"> comprised of </w:t>
      </w:r>
      <w:r w:rsidR="003943F4">
        <w:rPr>
          <w:rFonts w:ascii="Segoe UI" w:hAnsi="Segoe UI" w:cs="Segoe UI"/>
        </w:rPr>
        <w:t>1,537</w:t>
      </w:r>
      <w:r w:rsidR="00465750">
        <w:rPr>
          <w:rFonts w:ascii="Segoe UI" w:hAnsi="Segoe UI" w:cs="Segoe UI"/>
        </w:rPr>
        <w:t xml:space="preserve"> new builds, </w:t>
      </w:r>
      <w:r w:rsidR="003943F4">
        <w:rPr>
          <w:rFonts w:ascii="Segoe UI" w:hAnsi="Segoe UI" w:cs="Segoe UI"/>
        </w:rPr>
        <w:t>42</w:t>
      </w:r>
      <w:r w:rsidR="00465750">
        <w:rPr>
          <w:rFonts w:ascii="Segoe UI" w:hAnsi="Segoe UI" w:cs="Segoe UI"/>
        </w:rPr>
        <w:t xml:space="preserve"> conversations, </w:t>
      </w:r>
      <w:r>
        <w:rPr>
          <w:rFonts w:ascii="Segoe UI" w:hAnsi="Segoe UI" w:cs="Segoe UI"/>
        </w:rPr>
        <w:t>1</w:t>
      </w:r>
      <w:r w:rsidR="003943F4">
        <w:rPr>
          <w:rFonts w:ascii="Segoe UI" w:hAnsi="Segoe UI" w:cs="Segoe UI"/>
        </w:rPr>
        <w:t>19</w:t>
      </w:r>
      <w:r w:rsidR="00465750">
        <w:rPr>
          <w:rFonts w:ascii="Segoe UI" w:hAnsi="Segoe UI" w:cs="Segoe UI"/>
        </w:rPr>
        <w:t xml:space="preserve"> change of use, and </w:t>
      </w:r>
      <w:r w:rsidR="003943F4">
        <w:rPr>
          <w:rFonts w:ascii="Segoe UI" w:hAnsi="Segoe UI" w:cs="Segoe UI"/>
        </w:rPr>
        <w:t>94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943F4">
        <w:rPr>
          <w:rFonts w:ascii="Segoe UI" w:hAnsi="Segoe UI" w:cs="Segoe UI"/>
        </w:rPr>
        <w:t>V</w:t>
      </w:r>
      <w:r w:rsidR="009B632B">
        <w:rPr>
          <w:rFonts w:ascii="Segoe UI" w:hAnsi="Segoe UI" w:cs="Segoe UI"/>
        </w:rPr>
        <w:t>ale</w:t>
      </w:r>
      <w:r w:rsidR="003943F4">
        <w:rPr>
          <w:rFonts w:ascii="Segoe UI" w:hAnsi="Segoe UI" w:cs="Segoe UI"/>
        </w:rPr>
        <w:t xml:space="preserve"> of White Horse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3943F4">
        <w:rPr>
          <w:rFonts w:ascii="Segoe UI" w:hAnsi="Segoe UI" w:cs="Segoe UI"/>
        </w:rPr>
        <w:t>3</w:t>
      </w:r>
      <w:r>
        <w:rPr>
          <w:rFonts w:ascii="Segoe UI" w:hAnsi="Segoe UI" w:cs="Segoe UI"/>
        </w:rPr>
        <w:t>, the number of households accommodated in temporary accommodat</w:t>
      </w:r>
      <w:r w:rsidR="003943F4">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943F4"/>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6BB5"/>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15.58800315706393</c:v>
                </c:pt>
                <c:pt idx="1">
                  <c:v>3.5280282242257934</c:v>
                </c:pt>
                <c:pt idx="2">
                  <c:v>4.6692607003891062</c:v>
                </c:pt>
                <c:pt idx="3">
                  <c:v>4.6403712296983759</c:v>
                </c:pt>
                <c:pt idx="4">
                  <c:v>7.4612588482877369</c:v>
                </c:pt>
                <c:pt idx="5">
                  <c:v>9.4179694857788654</c:v>
                </c:pt>
                <c:pt idx="6">
                  <c:v>9.5905569900405752</c:v>
                </c:pt>
                <c:pt idx="7">
                  <c:v>12.910365178900772</c:v>
                </c:pt>
              </c:numCache>
            </c:numRef>
          </c:val>
        </c:ser>
        <c:marker val="1"/>
        <c:axId val="184466048"/>
        <c:axId val="184512896"/>
      </c:lineChart>
      <c:catAx>
        <c:axId val="184466048"/>
        <c:scaling>
          <c:orientation val="minMax"/>
        </c:scaling>
        <c:axPos val="b"/>
        <c:tickLblPos val="nextTo"/>
        <c:txPr>
          <a:bodyPr/>
          <a:lstStyle/>
          <a:p>
            <a:pPr>
              <a:defRPr sz="1000"/>
            </a:pPr>
            <a:endParaRPr lang="en-US"/>
          </a:p>
        </c:txPr>
        <c:crossAx val="184512896"/>
        <c:crosses val="autoZero"/>
        <c:auto val="1"/>
        <c:lblAlgn val="ctr"/>
        <c:lblOffset val="100"/>
      </c:catAx>
      <c:valAx>
        <c:axId val="184512896"/>
        <c:scaling>
          <c:orientation val="minMax"/>
        </c:scaling>
        <c:axPos val="l"/>
        <c:majorGridlines/>
        <c:numFmt formatCode="General" sourceLinked="1"/>
        <c:tickLblPos val="nextTo"/>
        <c:crossAx val="184466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0.38910505836575876</c:v>
                </c:pt>
                <c:pt idx="1">
                  <c:v>0.38669760247486468</c:v>
                </c:pt>
                <c:pt idx="2">
                  <c:v>0.57394298832982593</c:v>
                </c:pt>
                <c:pt idx="3">
                  <c:v>0.18835938971557734</c:v>
                </c:pt>
                <c:pt idx="4">
                  <c:v>0.77462191073404651</c:v>
                </c:pt>
              </c:numCache>
            </c:numRef>
          </c:val>
        </c:ser>
        <c:marker val="1"/>
        <c:axId val="185416704"/>
        <c:axId val="185430784"/>
      </c:lineChart>
      <c:catAx>
        <c:axId val="185416704"/>
        <c:scaling>
          <c:orientation val="minMax"/>
        </c:scaling>
        <c:axPos val="b"/>
        <c:tickLblPos val="nextTo"/>
        <c:crossAx val="185430784"/>
        <c:crosses val="autoZero"/>
        <c:auto val="1"/>
        <c:lblAlgn val="ctr"/>
        <c:lblOffset val="100"/>
      </c:catAx>
      <c:valAx>
        <c:axId val="185430784"/>
        <c:scaling>
          <c:orientation val="minMax"/>
        </c:scaling>
        <c:axPos val="l"/>
        <c:majorGridlines/>
        <c:numFmt formatCode="General" sourceLinked="1"/>
        <c:tickLblPos val="nextTo"/>
        <c:crossAx val="185416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0.97276264591439687</c:v>
                </c:pt>
                <c:pt idx="1">
                  <c:v>2.1268368136117557</c:v>
                </c:pt>
                <c:pt idx="2">
                  <c:v>2.2957719533193037</c:v>
                </c:pt>
                <c:pt idx="3">
                  <c:v>1.1301563382934641</c:v>
                </c:pt>
                <c:pt idx="4">
                  <c:v>2.1947620804131316</c:v>
                </c:pt>
              </c:numCache>
            </c:numRef>
          </c:val>
        </c:ser>
        <c:marker val="1"/>
        <c:axId val="185469568"/>
        <c:axId val="185491840"/>
      </c:lineChart>
      <c:catAx>
        <c:axId val="185469568"/>
        <c:scaling>
          <c:orientation val="minMax"/>
        </c:scaling>
        <c:axPos val="b"/>
        <c:tickLblPos val="nextTo"/>
        <c:crossAx val="185491840"/>
        <c:crosses val="autoZero"/>
        <c:auto val="1"/>
        <c:lblAlgn val="ctr"/>
        <c:lblOffset val="100"/>
      </c:catAx>
      <c:valAx>
        <c:axId val="185491840"/>
        <c:scaling>
          <c:orientation val="minMax"/>
        </c:scaling>
        <c:axPos val="l"/>
        <c:majorGridlines/>
        <c:numFmt formatCode="General" sourceLinked="1"/>
        <c:tickLblPos val="nextTo"/>
        <c:crossAx val="185469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0.20287716709701217</c:v>
                </c:pt>
              </c:numCache>
            </c:numRef>
          </c:val>
        </c:ser>
        <c:marker val="1"/>
        <c:axId val="185514240"/>
        <c:axId val="185536512"/>
      </c:lineChart>
      <c:catAx>
        <c:axId val="185514240"/>
        <c:scaling>
          <c:orientation val="minMax"/>
        </c:scaling>
        <c:axPos val="b"/>
        <c:tickLblPos val="nextTo"/>
        <c:crossAx val="185536512"/>
        <c:crosses val="autoZero"/>
        <c:auto val="1"/>
        <c:lblAlgn val="ctr"/>
        <c:lblOffset val="100"/>
      </c:catAx>
      <c:valAx>
        <c:axId val="185536512"/>
        <c:scaling>
          <c:orientation val="minMax"/>
        </c:scaling>
        <c:axPos val="l"/>
        <c:majorGridlines/>
        <c:numFmt formatCode="General" sourceLinked="1"/>
        <c:tickLblPos val="nextTo"/>
        <c:crossAx val="185514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0.56507816914673203</c:v>
                </c:pt>
                <c:pt idx="4">
                  <c:v>1.7336776097381041</c:v>
                </c:pt>
              </c:numCache>
            </c:numRef>
          </c:val>
        </c:ser>
        <c:marker val="1"/>
        <c:axId val="185550720"/>
        <c:axId val="185552256"/>
      </c:lineChart>
      <c:catAx>
        <c:axId val="185550720"/>
        <c:scaling>
          <c:orientation val="minMax"/>
        </c:scaling>
        <c:axPos val="b"/>
        <c:tickLblPos val="nextTo"/>
        <c:crossAx val="185552256"/>
        <c:crosses val="autoZero"/>
        <c:auto val="1"/>
        <c:lblAlgn val="ctr"/>
        <c:lblOffset val="100"/>
      </c:catAx>
      <c:valAx>
        <c:axId val="185552256"/>
        <c:scaling>
          <c:orientation val="minMax"/>
        </c:scaling>
        <c:axPos val="l"/>
        <c:majorGridlines/>
        <c:numFmt formatCode="General" sourceLinked="1"/>
        <c:tickLblPos val="nextTo"/>
        <c:crossAx val="185550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6.4202334630350189</c:v>
                </c:pt>
                <c:pt idx="1">
                  <c:v>10.634184068058779</c:v>
                </c:pt>
                <c:pt idx="2">
                  <c:v>15.687775014348576</c:v>
                </c:pt>
                <c:pt idx="3">
                  <c:v>21.284611037860238</c:v>
                </c:pt>
                <c:pt idx="4">
                  <c:v>29.786056805606787</c:v>
                </c:pt>
              </c:numCache>
            </c:numRef>
          </c:val>
        </c:ser>
        <c:marker val="1"/>
        <c:axId val="185599488"/>
        <c:axId val="185601024"/>
      </c:lineChart>
      <c:catAx>
        <c:axId val="185599488"/>
        <c:scaling>
          <c:orientation val="minMax"/>
        </c:scaling>
        <c:axPos val="b"/>
        <c:tickLblPos val="nextTo"/>
        <c:crossAx val="185601024"/>
        <c:crosses val="autoZero"/>
        <c:auto val="1"/>
        <c:lblAlgn val="ctr"/>
        <c:lblOffset val="100"/>
      </c:catAx>
      <c:valAx>
        <c:axId val="185601024"/>
        <c:scaling>
          <c:orientation val="minMax"/>
        </c:scaling>
        <c:axPos val="l"/>
        <c:majorGridlines/>
        <c:numFmt formatCode="General" sourceLinked="1"/>
        <c:tickLblPos val="nextTo"/>
        <c:crossAx val="185599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Vale of White Horse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8.35</c:v>
                </c:pt>
                <c:pt idx="1">
                  <c:v>8.18</c:v>
                </c:pt>
                <c:pt idx="2">
                  <c:v>8.83</c:v>
                </c:pt>
                <c:pt idx="3">
                  <c:v>9.4499999999999993</c:v>
                </c:pt>
                <c:pt idx="4">
                  <c:v>10.08</c:v>
                </c:pt>
              </c:numCache>
            </c:numRef>
          </c:val>
        </c:ser>
        <c:marker val="1"/>
        <c:axId val="185638912"/>
        <c:axId val="185640448"/>
      </c:lineChart>
      <c:catAx>
        <c:axId val="185638912"/>
        <c:scaling>
          <c:orientation val="minMax"/>
        </c:scaling>
        <c:axPos val="b"/>
        <c:numFmt formatCode="General" sourceLinked="1"/>
        <c:tickLblPos val="nextTo"/>
        <c:crossAx val="185640448"/>
        <c:crosses val="autoZero"/>
        <c:auto val="1"/>
        <c:lblAlgn val="ctr"/>
        <c:lblOffset val="100"/>
      </c:catAx>
      <c:valAx>
        <c:axId val="185640448"/>
        <c:scaling>
          <c:orientation val="minMax"/>
        </c:scaling>
        <c:axPos val="l"/>
        <c:majorGridlines/>
        <c:numFmt formatCode="General" sourceLinked="1"/>
        <c:tickLblPos val="nextTo"/>
        <c:crossAx val="185638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Vale of White Horse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7.5606363031512736</c:v>
                </c:pt>
                <c:pt idx="1">
                  <c:v>7.4982753966587685</c:v>
                </c:pt>
                <c:pt idx="2">
                  <c:v>8.43</c:v>
                </c:pt>
                <c:pt idx="3">
                  <c:v>8.7239734791206232</c:v>
                </c:pt>
                <c:pt idx="4">
                  <c:v>9.32</c:v>
                </c:pt>
              </c:numCache>
            </c:numRef>
          </c:val>
        </c:ser>
        <c:marker val="1"/>
        <c:axId val="185662848"/>
        <c:axId val="185746560"/>
      </c:lineChart>
      <c:catAx>
        <c:axId val="185662848"/>
        <c:scaling>
          <c:orientation val="minMax"/>
        </c:scaling>
        <c:axPos val="b"/>
        <c:numFmt formatCode="General" sourceLinked="1"/>
        <c:tickLblPos val="nextTo"/>
        <c:crossAx val="185746560"/>
        <c:crosses val="autoZero"/>
        <c:auto val="1"/>
        <c:lblAlgn val="ctr"/>
        <c:lblOffset val="100"/>
      </c:catAx>
      <c:valAx>
        <c:axId val="185746560"/>
        <c:scaling>
          <c:orientation val="minMax"/>
        </c:scaling>
        <c:axPos val="l"/>
        <c:majorGridlines/>
        <c:numFmt formatCode="General" sourceLinked="1"/>
        <c:tickLblPos val="nextTo"/>
        <c:crossAx val="185662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Vale of White Horse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86.43</c:v>
                </c:pt>
                <c:pt idx="1">
                  <c:v>87.96</c:v>
                </c:pt>
                <c:pt idx="2">
                  <c:v>93.81</c:v>
                </c:pt>
                <c:pt idx="3">
                  <c:v>100.39</c:v>
                </c:pt>
                <c:pt idx="4">
                  <c:v>104.32</c:v>
                </c:pt>
                <c:pt idx="5">
                  <c:v>108.91</c:v>
                </c:pt>
                <c:pt idx="6">
                  <c:v>110.96329154228856</c:v>
                </c:pt>
                <c:pt idx="7">
                  <c:v>109.29031556039172</c:v>
                </c:pt>
              </c:numCache>
            </c:numRef>
          </c:val>
        </c:ser>
        <c:marker val="1"/>
        <c:axId val="185667584"/>
        <c:axId val="185669120"/>
      </c:lineChart>
      <c:catAx>
        <c:axId val="185667584"/>
        <c:scaling>
          <c:orientation val="minMax"/>
        </c:scaling>
        <c:axPos val="b"/>
        <c:numFmt formatCode="General" sourceLinked="1"/>
        <c:tickLblPos val="nextTo"/>
        <c:crossAx val="185669120"/>
        <c:crosses val="autoZero"/>
        <c:auto val="1"/>
        <c:lblAlgn val="ctr"/>
        <c:lblOffset val="100"/>
      </c:catAx>
      <c:valAx>
        <c:axId val="18566912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5667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0.91489361702127658</c:v>
                </c:pt>
                <c:pt idx="1">
                  <c:v>1.1299999999999999</c:v>
                </c:pt>
                <c:pt idx="2">
                  <c:v>1.28</c:v>
                </c:pt>
                <c:pt idx="3">
                  <c:v>1.2222287933447671</c:v>
                </c:pt>
                <c:pt idx="4">
                  <c:v>0.74</c:v>
                </c:pt>
                <c:pt idx="5">
                  <c:v>0.43</c:v>
                </c:pt>
                <c:pt idx="6">
                  <c:v>0.25</c:v>
                </c:pt>
              </c:numCache>
            </c:numRef>
          </c:val>
        </c:ser>
        <c:marker val="1"/>
        <c:axId val="185712640"/>
        <c:axId val="185714176"/>
      </c:lineChart>
      <c:catAx>
        <c:axId val="185712640"/>
        <c:scaling>
          <c:orientation val="minMax"/>
        </c:scaling>
        <c:axPos val="b"/>
        <c:tickLblPos val="nextTo"/>
        <c:crossAx val="185714176"/>
        <c:crosses val="autoZero"/>
        <c:auto val="1"/>
        <c:lblAlgn val="ctr"/>
        <c:lblOffset val="100"/>
      </c:catAx>
      <c:valAx>
        <c:axId val="185714176"/>
        <c:scaling>
          <c:orientation val="minMax"/>
        </c:scaling>
        <c:axPos val="l"/>
        <c:majorGridlines/>
        <c:numFmt formatCode="General" sourceLinked="1"/>
        <c:tickLblPos val="nextTo"/>
        <c:crossAx val="185712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0.46808510638297873</c:v>
                </c:pt>
                <c:pt idx="1">
                  <c:v>0.53</c:v>
                </c:pt>
                <c:pt idx="2">
                  <c:v>0.6</c:v>
                </c:pt>
                <c:pt idx="3">
                  <c:v>0.37455398505726734</c:v>
                </c:pt>
                <c:pt idx="4">
                  <c:v>0.39</c:v>
                </c:pt>
                <c:pt idx="5">
                  <c:v>0.14000000000000001</c:v>
                </c:pt>
                <c:pt idx="6">
                  <c:v>0.17</c:v>
                </c:pt>
              </c:numCache>
            </c:numRef>
          </c:val>
        </c:ser>
        <c:marker val="1"/>
        <c:axId val="185867648"/>
        <c:axId val="185885824"/>
      </c:lineChart>
      <c:catAx>
        <c:axId val="185867648"/>
        <c:scaling>
          <c:orientation val="minMax"/>
        </c:scaling>
        <c:axPos val="b"/>
        <c:tickLblPos val="nextTo"/>
        <c:crossAx val="185885824"/>
        <c:crosses val="autoZero"/>
        <c:auto val="1"/>
        <c:lblAlgn val="ctr"/>
        <c:lblOffset val="100"/>
      </c:catAx>
      <c:valAx>
        <c:axId val="185885824"/>
        <c:scaling>
          <c:orientation val="minMax"/>
        </c:scaling>
        <c:axPos val="l"/>
        <c:majorGridlines/>
        <c:numFmt formatCode="General" sourceLinked="1"/>
        <c:tickLblPos val="nextTo"/>
        <c:crossAx val="185867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0.98000784006272057</c:v>
                </c:pt>
                <c:pt idx="2">
                  <c:v>2.7237354085603118</c:v>
                </c:pt>
                <c:pt idx="3">
                  <c:v>0.96674400618716172</c:v>
                </c:pt>
                <c:pt idx="4">
                  <c:v>3.6349722594222311</c:v>
                </c:pt>
                <c:pt idx="5">
                  <c:v>5.6507816914673201</c:v>
                </c:pt>
                <c:pt idx="6">
                  <c:v>4.057543341940244</c:v>
                </c:pt>
                <c:pt idx="7">
                  <c:v>5.9018812246403556</c:v>
                </c:pt>
              </c:numCache>
            </c:numRef>
          </c:val>
        </c:ser>
        <c:marker val="1"/>
        <c:axId val="147262080"/>
        <c:axId val="147267968"/>
      </c:lineChart>
      <c:catAx>
        <c:axId val="147262080"/>
        <c:scaling>
          <c:orientation val="minMax"/>
        </c:scaling>
        <c:axPos val="b"/>
        <c:tickLblPos val="nextTo"/>
        <c:crossAx val="147267968"/>
        <c:crosses val="autoZero"/>
        <c:auto val="1"/>
        <c:lblAlgn val="ctr"/>
        <c:lblOffset val="100"/>
      </c:catAx>
      <c:valAx>
        <c:axId val="147267968"/>
        <c:scaling>
          <c:orientation val="minMax"/>
        </c:scaling>
        <c:axPos val="l"/>
        <c:majorGridlines/>
        <c:numFmt formatCode="General" sourceLinked="1"/>
        <c:tickLblPos val="nextTo"/>
        <c:crossAx val="14726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0.19455252918287938</c:v>
                </c:pt>
                <c:pt idx="3">
                  <c:v>0</c:v>
                </c:pt>
                <c:pt idx="4">
                  <c:v>0</c:v>
                </c:pt>
                <c:pt idx="5">
                  <c:v>0</c:v>
                </c:pt>
                <c:pt idx="6">
                  <c:v>0</c:v>
                </c:pt>
                <c:pt idx="7">
                  <c:v>0.92216894135005523</c:v>
                </c:pt>
              </c:numCache>
            </c:numRef>
          </c:val>
        </c:ser>
        <c:marker val="1"/>
        <c:axId val="147302656"/>
        <c:axId val="147316736"/>
      </c:lineChart>
      <c:catAx>
        <c:axId val="147302656"/>
        <c:scaling>
          <c:orientation val="minMax"/>
        </c:scaling>
        <c:axPos val="b"/>
        <c:tickLblPos val="nextTo"/>
        <c:crossAx val="147316736"/>
        <c:crosses val="autoZero"/>
        <c:auto val="1"/>
        <c:lblAlgn val="ctr"/>
        <c:lblOffset val="100"/>
      </c:catAx>
      <c:valAx>
        <c:axId val="147316736"/>
        <c:scaling>
          <c:orientation val="minMax"/>
        </c:scaling>
        <c:axPos val="l"/>
        <c:majorGridlines/>
        <c:numFmt formatCode="General" sourceLinked="1"/>
        <c:tickLblPos val="nextTo"/>
        <c:crossAx val="147302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4.5080360642885147</c:v>
                </c:pt>
                <c:pt idx="2">
                  <c:v>7.5875486381322945</c:v>
                </c:pt>
                <c:pt idx="3">
                  <c:v>5.6071152358855363</c:v>
                </c:pt>
                <c:pt idx="4">
                  <c:v>11.096231107709968</c:v>
                </c:pt>
                <c:pt idx="5">
                  <c:v>15.068751177246185</c:v>
                </c:pt>
                <c:pt idx="6">
                  <c:v>13.648100331980817</c:v>
                </c:pt>
                <c:pt idx="7">
                  <c:v>19.549981556621173</c:v>
                </c:pt>
              </c:numCache>
            </c:numRef>
          </c:val>
        </c:ser>
        <c:marker val="1"/>
        <c:axId val="185173888"/>
        <c:axId val="185175424"/>
      </c:lineChart>
      <c:catAx>
        <c:axId val="185173888"/>
        <c:scaling>
          <c:orientation val="minMax"/>
        </c:scaling>
        <c:axPos val="b"/>
        <c:tickLblPos val="nextTo"/>
        <c:crossAx val="185175424"/>
        <c:crosses val="autoZero"/>
        <c:auto val="1"/>
        <c:lblAlgn val="ctr"/>
        <c:lblOffset val="100"/>
      </c:catAx>
      <c:valAx>
        <c:axId val="185175424"/>
        <c:scaling>
          <c:orientation val="minMax"/>
        </c:scaling>
        <c:axPos val="l"/>
        <c:majorGridlines/>
        <c:numFmt formatCode="General" sourceLinked="1"/>
        <c:tickLblPos val="nextTo"/>
        <c:crossAx val="185173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15.98263614838201</c:v>
                </c:pt>
                <c:pt idx="1">
                  <c:v>4.5080360642885147</c:v>
                </c:pt>
                <c:pt idx="2">
                  <c:v>2.9182879377431901</c:v>
                </c:pt>
                <c:pt idx="3">
                  <c:v>5.2204176334106727</c:v>
                </c:pt>
                <c:pt idx="4">
                  <c:v>6.8873158599579085</c:v>
                </c:pt>
                <c:pt idx="5">
                  <c:v>5.0857035223205873</c:v>
                </c:pt>
                <c:pt idx="6">
                  <c:v>9.406123201770562</c:v>
                </c:pt>
                <c:pt idx="7">
                  <c:v>8.2995204721504976</c:v>
                </c:pt>
              </c:numCache>
            </c:numRef>
          </c:val>
        </c:ser>
        <c:marker val="1"/>
        <c:axId val="185210368"/>
        <c:axId val="185211904"/>
      </c:lineChart>
      <c:catAx>
        <c:axId val="185210368"/>
        <c:scaling>
          <c:orientation val="minMax"/>
        </c:scaling>
        <c:axPos val="b"/>
        <c:tickLblPos val="nextTo"/>
        <c:crossAx val="185211904"/>
        <c:crosses val="autoZero"/>
        <c:auto val="1"/>
        <c:lblAlgn val="ctr"/>
        <c:lblOffset val="100"/>
      </c:catAx>
      <c:valAx>
        <c:axId val="185211904"/>
        <c:scaling>
          <c:orientation val="minMax"/>
        </c:scaling>
        <c:axPos val="l"/>
        <c:majorGridlines/>
        <c:numFmt formatCode="General" sourceLinked="1"/>
        <c:tickLblPos val="nextTo"/>
        <c:crossAx val="185210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0.98000784006272057</c:v>
                </c:pt>
                <c:pt idx="2">
                  <c:v>1.1673151750972763</c:v>
                </c:pt>
                <c:pt idx="3">
                  <c:v>2.5135344160866206</c:v>
                </c:pt>
                <c:pt idx="4">
                  <c:v>2.8697149416491294</c:v>
                </c:pt>
                <c:pt idx="5">
                  <c:v>3.2021096251648138</c:v>
                </c:pt>
                <c:pt idx="6">
                  <c:v>4.2419771302102554</c:v>
                </c:pt>
                <c:pt idx="7">
                  <c:v>4.2419771302102554</c:v>
                </c:pt>
              </c:numCache>
            </c:numRef>
          </c:val>
        </c:ser>
        <c:marker val="1"/>
        <c:axId val="185255040"/>
        <c:axId val="185256576"/>
      </c:lineChart>
      <c:catAx>
        <c:axId val="185255040"/>
        <c:scaling>
          <c:orientation val="minMax"/>
        </c:scaling>
        <c:axPos val="b"/>
        <c:tickLblPos val="nextTo"/>
        <c:crossAx val="185256576"/>
        <c:crosses val="autoZero"/>
        <c:auto val="1"/>
        <c:lblAlgn val="ctr"/>
        <c:lblOffset val="100"/>
      </c:catAx>
      <c:valAx>
        <c:axId val="185256576"/>
        <c:scaling>
          <c:orientation val="minMax"/>
        </c:scaling>
        <c:axPos val="l"/>
        <c:majorGridlines/>
        <c:numFmt formatCode="General" sourceLinked="1"/>
        <c:tickLblPos val="nextTo"/>
        <c:crossAx val="185255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0.77821011673151763</c:v>
                </c:pt>
                <c:pt idx="3">
                  <c:v>0</c:v>
                </c:pt>
                <c:pt idx="4">
                  <c:v>0</c:v>
                </c:pt>
                <c:pt idx="5">
                  <c:v>0</c:v>
                </c:pt>
                <c:pt idx="6">
                  <c:v>0</c:v>
                </c:pt>
                <c:pt idx="7">
                  <c:v>0.73773515308004445</c:v>
                </c:pt>
              </c:numCache>
            </c:numRef>
          </c:val>
        </c:ser>
        <c:marker val="1"/>
        <c:axId val="185307904"/>
        <c:axId val="185309440"/>
      </c:lineChart>
      <c:catAx>
        <c:axId val="185307904"/>
        <c:scaling>
          <c:orientation val="minMax"/>
        </c:scaling>
        <c:axPos val="b"/>
        <c:tickLblPos val="nextTo"/>
        <c:crossAx val="185309440"/>
        <c:crosses val="autoZero"/>
        <c:auto val="1"/>
        <c:lblAlgn val="ctr"/>
        <c:lblOffset val="100"/>
      </c:catAx>
      <c:valAx>
        <c:axId val="185309440"/>
        <c:scaling>
          <c:orientation val="minMax"/>
        </c:scaling>
        <c:axPos val="l"/>
        <c:majorGridlines/>
        <c:numFmt formatCode="General" sourceLinked="1"/>
        <c:tickLblPos val="nextTo"/>
        <c:crossAx val="1853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5.4880439043512368</c:v>
                </c:pt>
                <c:pt idx="2">
                  <c:v>4.6692607003891062</c:v>
                </c:pt>
                <c:pt idx="3">
                  <c:v>7.733952049497292</c:v>
                </c:pt>
                <c:pt idx="4">
                  <c:v>9.7570308016070424</c:v>
                </c:pt>
                <c:pt idx="5">
                  <c:v>8.2878131474853998</c:v>
                </c:pt>
                <c:pt idx="6">
                  <c:v>13.648100331980817</c:v>
                </c:pt>
                <c:pt idx="7">
                  <c:v>13.279232755440798</c:v>
                </c:pt>
              </c:numCache>
            </c:numRef>
          </c:val>
        </c:ser>
        <c:marker val="1"/>
        <c:axId val="185344384"/>
        <c:axId val="185345920"/>
      </c:lineChart>
      <c:catAx>
        <c:axId val="185344384"/>
        <c:scaling>
          <c:orientation val="minMax"/>
        </c:scaling>
        <c:axPos val="b"/>
        <c:tickLblPos val="nextTo"/>
        <c:crossAx val="185345920"/>
        <c:crosses val="autoZero"/>
        <c:auto val="1"/>
        <c:lblAlgn val="ctr"/>
        <c:lblOffset val="100"/>
      </c:catAx>
      <c:valAx>
        <c:axId val="185345920"/>
        <c:scaling>
          <c:orientation val="minMax"/>
        </c:scaling>
        <c:axPos val="l"/>
        <c:majorGridlines/>
        <c:numFmt formatCode="General" sourceLinked="1"/>
        <c:tickLblPos val="nextTo"/>
        <c:crossAx val="18534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Vale of White Horse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5.0583657587548645</c:v>
                </c:pt>
                <c:pt idx="1">
                  <c:v>8.1206496519721583</c:v>
                </c:pt>
                <c:pt idx="2">
                  <c:v>12.818060072699444</c:v>
                </c:pt>
                <c:pt idx="3">
                  <c:v>20.531173478997928</c:v>
                </c:pt>
                <c:pt idx="4">
                  <c:v>28.347473257100699</c:v>
                </c:pt>
              </c:numCache>
            </c:numRef>
          </c:val>
        </c:ser>
        <c:marker val="1"/>
        <c:axId val="185384960"/>
        <c:axId val="185386496"/>
      </c:lineChart>
      <c:catAx>
        <c:axId val="185384960"/>
        <c:scaling>
          <c:orientation val="minMax"/>
        </c:scaling>
        <c:axPos val="b"/>
        <c:tickLblPos val="nextTo"/>
        <c:crossAx val="185386496"/>
        <c:crosses val="autoZero"/>
        <c:auto val="1"/>
        <c:lblAlgn val="ctr"/>
        <c:lblOffset val="100"/>
      </c:catAx>
      <c:valAx>
        <c:axId val="185386496"/>
        <c:scaling>
          <c:orientation val="minMax"/>
        </c:scaling>
        <c:axPos val="l"/>
        <c:majorGridlines/>
        <c:numFmt formatCode="General" sourceLinked="1"/>
        <c:tickLblPos val="nextTo"/>
        <c:crossAx val="185384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58E36-1187-47D8-9CB9-6AB99C72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2018-04-30T14:16:00Z</dcterms:created>
  <dcterms:modified xsi:type="dcterms:W3CDTF">2018-05-08T13:34:00Z</dcterms:modified>
</cp:coreProperties>
</file>